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CD58F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D58FD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D58F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D58FD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23.09.2024 </w:t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1291</w:t>
      </w:r>
    </w:p>
    <w:p w:rsid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58FD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58FD" w:rsidRPr="00CD58FD" w:rsidRDefault="00CD58FD" w:rsidP="00CD58F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77453" w:rsidRPr="006D153A" w:rsidRDefault="007424F0" w:rsidP="0097745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6D153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Реестра муниципальных </w:t>
      </w:r>
      <w:r w:rsidR="00A43971" w:rsidRPr="006D153A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услуг, предоставляемых </w:t>
      </w:r>
      <w:r w:rsidRPr="006D153A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администрацией Кореновского городского поселения</w:t>
      </w:r>
    </w:p>
    <w:p w:rsidR="007424F0" w:rsidRPr="006D153A" w:rsidRDefault="007424F0" w:rsidP="0097745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153A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Кореновского района</w:t>
      </w:r>
    </w:p>
    <w:p w:rsidR="007424F0" w:rsidRPr="006D153A" w:rsidRDefault="007424F0" w:rsidP="00742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24F0" w:rsidRPr="006D153A" w:rsidRDefault="007424F0" w:rsidP="00742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24F0" w:rsidRPr="006D153A" w:rsidRDefault="007424F0" w:rsidP="0097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</w:t>
      </w:r>
      <w:hyperlink r:id="rId9" w:history="1">
        <w:r w:rsidRPr="006D153A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6D153A">
        <w:rPr>
          <w:rFonts w:ascii="Times New Roman" w:hAnsi="Times New Roman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</w:t>
      </w:r>
      <w:r w:rsidR="00977453" w:rsidRPr="006D153A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6D153A">
        <w:rPr>
          <w:rFonts w:ascii="Times New Roman" w:hAnsi="Times New Roman"/>
          <w:color w:val="000000"/>
          <w:sz w:val="28"/>
          <w:szCs w:val="28"/>
        </w:rPr>
        <w:t>услуг», администрация Кореновского городского поселения Кореновского района п о с т а н о в л я е т:</w:t>
      </w:r>
    </w:p>
    <w:p w:rsidR="007424F0" w:rsidRPr="006D153A" w:rsidRDefault="007424F0" w:rsidP="0097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>1. Утвердить Реес</w:t>
      </w:r>
      <w:r w:rsidR="00FE4E44" w:rsidRPr="006D153A">
        <w:rPr>
          <w:rFonts w:ascii="Times New Roman" w:hAnsi="Times New Roman"/>
          <w:color w:val="000000"/>
          <w:sz w:val="28"/>
          <w:szCs w:val="28"/>
        </w:rPr>
        <w:t>тр муниципальных услуг</w:t>
      </w:r>
      <w:r w:rsidRPr="006D153A">
        <w:rPr>
          <w:rFonts w:ascii="Times New Roman" w:hAnsi="Times New Roman"/>
          <w:color w:val="000000"/>
          <w:sz w:val="28"/>
          <w:szCs w:val="28"/>
        </w:rPr>
        <w:t>, предоставляемых администрацией Кореновского городского поселения Кореновского района (прилагается).</w:t>
      </w:r>
    </w:p>
    <w:p w:rsidR="00895A16" w:rsidRPr="006D153A" w:rsidRDefault="007424F0" w:rsidP="0097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95A16" w:rsidRPr="006D153A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E44954" w:rsidRPr="006D153A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5A76DA" w:rsidRPr="006D153A">
        <w:rPr>
          <w:rFonts w:ascii="Times New Roman" w:hAnsi="Times New Roman"/>
          <w:color w:val="000000"/>
          <w:sz w:val="28"/>
          <w:szCs w:val="28"/>
        </w:rPr>
        <w:t>26</w:t>
      </w:r>
      <w:r w:rsidR="000246F6" w:rsidRPr="006D1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76DA" w:rsidRPr="006D153A">
        <w:rPr>
          <w:rFonts w:ascii="Times New Roman" w:hAnsi="Times New Roman"/>
          <w:color w:val="000000"/>
          <w:sz w:val="28"/>
          <w:szCs w:val="28"/>
        </w:rPr>
        <w:t>дека</w:t>
      </w:r>
      <w:r w:rsidR="000246F6" w:rsidRPr="006D153A">
        <w:rPr>
          <w:rFonts w:ascii="Times New Roman" w:hAnsi="Times New Roman"/>
          <w:color w:val="000000"/>
          <w:sz w:val="28"/>
          <w:szCs w:val="28"/>
        </w:rPr>
        <w:t>бря</w:t>
      </w:r>
      <w:r w:rsidR="004315B8" w:rsidRPr="006D153A">
        <w:rPr>
          <w:rFonts w:ascii="Times New Roman" w:hAnsi="Times New Roman"/>
          <w:color w:val="000000"/>
          <w:sz w:val="28"/>
          <w:szCs w:val="28"/>
        </w:rPr>
        <w:t xml:space="preserve"> 2022</w:t>
      </w:r>
      <w:r w:rsidR="00CD5EBC" w:rsidRPr="006D153A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F7735F" w:rsidRPr="006D1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76DA" w:rsidRPr="006D153A">
        <w:rPr>
          <w:rFonts w:ascii="Times New Roman" w:hAnsi="Times New Roman"/>
          <w:color w:val="000000"/>
          <w:sz w:val="28"/>
          <w:szCs w:val="28"/>
        </w:rPr>
        <w:t>1731</w:t>
      </w:r>
      <w:r w:rsidR="00895A16" w:rsidRPr="006D153A">
        <w:rPr>
          <w:rFonts w:ascii="Times New Roman" w:hAnsi="Times New Roman"/>
          <w:color w:val="000000"/>
          <w:sz w:val="28"/>
          <w:szCs w:val="28"/>
        </w:rPr>
        <w:t xml:space="preserve"> «Об утверждении Реестра муниципальных услуг, предоставляемых (исполняемых) администрацией Кореновского городского поселения Кореновского района».</w:t>
      </w:r>
    </w:p>
    <w:p w:rsidR="007424F0" w:rsidRPr="006D153A" w:rsidRDefault="007424F0" w:rsidP="0097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r w:rsidR="005A76DA" w:rsidRPr="006D153A">
        <w:rPr>
          <w:rFonts w:ascii="Times New Roman" w:hAnsi="Times New Roman"/>
          <w:color w:val="000000"/>
          <w:sz w:val="28"/>
          <w:szCs w:val="28"/>
        </w:rPr>
        <w:t>Козыренко</w:t>
      </w:r>
      <w:r w:rsidR="004D5D99">
        <w:rPr>
          <w:rFonts w:ascii="Times New Roman" w:hAnsi="Times New Roman"/>
          <w:color w:val="000000"/>
          <w:sz w:val="28"/>
          <w:szCs w:val="28"/>
        </w:rPr>
        <w:t>)</w:t>
      </w:r>
      <w:r w:rsidR="009617B4">
        <w:rPr>
          <w:rFonts w:ascii="Times New Roman" w:hAnsi="Times New Roman"/>
          <w:color w:val="000000"/>
          <w:sz w:val="28"/>
          <w:szCs w:val="28"/>
        </w:rPr>
        <w:t xml:space="preserve"> официально </w:t>
      </w:r>
      <w:r w:rsidR="004D5D99">
        <w:rPr>
          <w:rFonts w:ascii="Times New Roman" w:hAnsi="Times New Roman"/>
          <w:color w:val="000000"/>
          <w:sz w:val="28"/>
          <w:szCs w:val="28"/>
        </w:rPr>
        <w:t>обнародовать</w:t>
      </w:r>
      <w:r w:rsidRPr="006D153A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424F0" w:rsidRPr="006D153A" w:rsidRDefault="007424F0" w:rsidP="00977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                          на </w:t>
      </w:r>
      <w:r w:rsidR="00431A85" w:rsidRPr="006D153A">
        <w:rPr>
          <w:rFonts w:ascii="Times New Roman" w:hAnsi="Times New Roman"/>
          <w:color w:val="000000"/>
          <w:sz w:val="28"/>
          <w:szCs w:val="28"/>
        </w:rPr>
        <w:t xml:space="preserve">заместителя главы Кореновского городского поселения                 </w:t>
      </w:r>
      <w:r w:rsidR="00CD5EBC" w:rsidRPr="006D153A">
        <w:rPr>
          <w:rFonts w:ascii="Times New Roman" w:hAnsi="Times New Roman"/>
          <w:color w:val="000000"/>
          <w:sz w:val="28"/>
          <w:szCs w:val="28"/>
        </w:rPr>
        <w:t xml:space="preserve">           Кореновского района Т.В. Супрунову. </w:t>
      </w:r>
    </w:p>
    <w:p w:rsidR="007424F0" w:rsidRPr="006D153A" w:rsidRDefault="007424F0" w:rsidP="0097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 xml:space="preserve">5. Постановление вступает в силу после его официального </w:t>
      </w:r>
      <w:r w:rsidR="00372888">
        <w:rPr>
          <w:rFonts w:ascii="Times New Roman" w:hAnsi="Times New Roman"/>
          <w:color w:val="000000"/>
          <w:sz w:val="28"/>
          <w:szCs w:val="28"/>
        </w:rPr>
        <w:t>обнародования</w:t>
      </w:r>
      <w:r w:rsidRPr="006D153A">
        <w:rPr>
          <w:rFonts w:ascii="Times New Roman" w:hAnsi="Times New Roman"/>
          <w:color w:val="000000"/>
          <w:sz w:val="28"/>
          <w:szCs w:val="28"/>
        </w:rPr>
        <w:t>.</w:t>
      </w:r>
    </w:p>
    <w:p w:rsidR="007424F0" w:rsidRPr="006D153A" w:rsidRDefault="007424F0" w:rsidP="007424F0">
      <w:pPr>
        <w:suppressAutoHyphens/>
        <w:spacing w:after="0" w:line="240" w:lineRule="auto"/>
        <w:ind w:firstLine="709"/>
        <w:jc w:val="both"/>
        <w:rPr>
          <w:rFonts w:ascii="Times New Roman" w:eastAsia="DejaVuSans" w:hAnsi="Times New Roman"/>
          <w:color w:val="000000"/>
          <w:kern w:val="1"/>
          <w:sz w:val="28"/>
          <w:szCs w:val="28"/>
        </w:rPr>
      </w:pPr>
    </w:p>
    <w:p w:rsidR="007424F0" w:rsidRPr="006D153A" w:rsidRDefault="007424F0" w:rsidP="007424F0">
      <w:pPr>
        <w:suppressAutoHyphens/>
        <w:spacing w:after="0" w:line="240" w:lineRule="auto"/>
        <w:jc w:val="both"/>
        <w:rPr>
          <w:rFonts w:ascii="Times New Roman" w:eastAsia="DejaVuSans" w:hAnsi="Times New Roman"/>
          <w:color w:val="000000"/>
          <w:kern w:val="1"/>
          <w:sz w:val="28"/>
          <w:szCs w:val="28"/>
        </w:rPr>
      </w:pPr>
    </w:p>
    <w:p w:rsidR="004D5D99" w:rsidRDefault="009617B4" w:rsidP="004D5D99">
      <w:pPr>
        <w:suppressAutoHyphens/>
        <w:spacing w:after="0"/>
        <w:jc w:val="both"/>
        <w:rPr>
          <w:rFonts w:ascii="Times New Roman" w:eastAsia="DejaVuSans" w:hAnsi="Times New Roman"/>
          <w:kern w:val="2"/>
          <w:sz w:val="28"/>
        </w:rPr>
      </w:pPr>
      <w:r>
        <w:rPr>
          <w:rFonts w:ascii="Times New Roman" w:eastAsia="DejaVuSans" w:hAnsi="Times New Roman"/>
          <w:kern w:val="2"/>
          <w:sz w:val="28"/>
        </w:rPr>
        <w:t>Г</w:t>
      </w:r>
      <w:r w:rsidR="004D5D99">
        <w:rPr>
          <w:rFonts w:ascii="Times New Roman" w:eastAsia="DejaVuSans" w:hAnsi="Times New Roman"/>
          <w:kern w:val="2"/>
          <w:sz w:val="28"/>
        </w:rPr>
        <w:t>лав</w:t>
      </w:r>
      <w:r>
        <w:rPr>
          <w:rFonts w:ascii="Times New Roman" w:eastAsia="DejaVuSans" w:hAnsi="Times New Roman"/>
          <w:kern w:val="2"/>
          <w:sz w:val="28"/>
        </w:rPr>
        <w:t>а</w:t>
      </w:r>
    </w:p>
    <w:p w:rsidR="004D5D99" w:rsidRDefault="004D5D99" w:rsidP="004D5D99">
      <w:pPr>
        <w:suppressAutoHyphens/>
        <w:spacing w:after="0"/>
        <w:jc w:val="both"/>
        <w:rPr>
          <w:rFonts w:ascii="Times New Roman" w:eastAsia="DejaVuSans" w:hAnsi="Times New Roman"/>
          <w:kern w:val="2"/>
          <w:sz w:val="28"/>
        </w:rPr>
      </w:pPr>
      <w:r>
        <w:rPr>
          <w:rFonts w:ascii="Times New Roman" w:eastAsia="DejaVuSans" w:hAnsi="Times New Roman"/>
          <w:kern w:val="2"/>
          <w:sz w:val="28"/>
        </w:rPr>
        <w:t xml:space="preserve">Кореновского городского поселения </w:t>
      </w:r>
    </w:p>
    <w:p w:rsidR="004D5D99" w:rsidRDefault="004D5D99" w:rsidP="004D5D99">
      <w:pPr>
        <w:suppressAutoHyphens/>
        <w:spacing w:after="0"/>
        <w:jc w:val="both"/>
        <w:rPr>
          <w:rFonts w:ascii="Times New Roman" w:eastAsia="DejaVuSans" w:hAnsi="Times New Roman"/>
          <w:kern w:val="2"/>
          <w:sz w:val="28"/>
        </w:rPr>
      </w:pPr>
      <w:r>
        <w:rPr>
          <w:rFonts w:ascii="Times New Roman" w:eastAsia="DejaVuSans" w:hAnsi="Times New Roman"/>
          <w:kern w:val="2"/>
          <w:sz w:val="28"/>
        </w:rPr>
        <w:t xml:space="preserve">Кореновского района                                                                     </w:t>
      </w:r>
      <w:r w:rsidR="009617B4">
        <w:rPr>
          <w:rFonts w:ascii="Times New Roman" w:eastAsia="DejaVuSans" w:hAnsi="Times New Roman"/>
          <w:kern w:val="2"/>
          <w:sz w:val="28"/>
        </w:rPr>
        <w:t xml:space="preserve"> </w:t>
      </w:r>
      <w:r>
        <w:rPr>
          <w:rFonts w:ascii="Times New Roman" w:eastAsia="DejaVuSans" w:hAnsi="Times New Roman"/>
          <w:kern w:val="2"/>
          <w:sz w:val="28"/>
        </w:rPr>
        <w:t xml:space="preserve">     </w:t>
      </w:r>
      <w:r w:rsidR="009617B4">
        <w:rPr>
          <w:rFonts w:ascii="Times New Roman" w:eastAsia="DejaVuSans" w:hAnsi="Times New Roman"/>
          <w:kern w:val="2"/>
          <w:sz w:val="28"/>
        </w:rPr>
        <w:t>М.О. Шутылев</w:t>
      </w:r>
    </w:p>
    <w:p w:rsidR="004D5D99" w:rsidRDefault="004D5D99" w:rsidP="004D5D99">
      <w:pPr>
        <w:suppressAutoHyphens/>
        <w:spacing w:after="0"/>
        <w:jc w:val="both"/>
        <w:rPr>
          <w:rFonts w:ascii="Times New Roman" w:eastAsia="DejaVuSans" w:hAnsi="Times New Roman"/>
          <w:kern w:val="2"/>
          <w:sz w:val="28"/>
        </w:rPr>
      </w:pPr>
    </w:p>
    <w:p w:rsidR="00C50978" w:rsidRPr="006D153A" w:rsidRDefault="00C50978" w:rsidP="004D5D99">
      <w:pPr>
        <w:suppressAutoHyphens/>
        <w:spacing w:after="0" w:line="240" w:lineRule="auto"/>
        <w:jc w:val="both"/>
        <w:rPr>
          <w:rFonts w:ascii="Times New Roman" w:eastAsia="DejaVuSans" w:hAnsi="Times New Roman"/>
          <w:color w:val="000000"/>
          <w:kern w:val="1"/>
          <w:sz w:val="28"/>
          <w:szCs w:val="28"/>
        </w:rPr>
      </w:pPr>
    </w:p>
    <w:p w:rsidR="00D4600B" w:rsidRPr="006D153A" w:rsidRDefault="00D4600B" w:rsidP="003F3E13">
      <w:pPr>
        <w:suppressAutoHyphens/>
        <w:spacing w:after="0" w:line="240" w:lineRule="auto"/>
        <w:jc w:val="both"/>
        <w:rPr>
          <w:rFonts w:ascii="Times New Roman" w:eastAsia="DejaVuSans" w:hAnsi="Times New Roman"/>
          <w:color w:val="000000"/>
          <w:kern w:val="1"/>
          <w:sz w:val="28"/>
          <w:szCs w:val="28"/>
        </w:rPr>
      </w:pPr>
    </w:p>
    <w:p w:rsidR="00FF688F" w:rsidRPr="006D153A" w:rsidRDefault="00FF688F" w:rsidP="003F3E13">
      <w:pPr>
        <w:suppressAutoHyphens/>
        <w:spacing w:after="0" w:line="240" w:lineRule="auto"/>
        <w:jc w:val="both"/>
        <w:rPr>
          <w:rFonts w:ascii="Times New Roman" w:eastAsia="DejaVuSans" w:hAnsi="Times New Roman"/>
          <w:color w:val="000000"/>
          <w:kern w:val="1"/>
          <w:sz w:val="28"/>
          <w:szCs w:val="28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4786"/>
        <w:gridCol w:w="4962"/>
      </w:tblGrid>
      <w:tr w:rsidR="00C50978" w:rsidRPr="006D153A" w:rsidTr="005967C5">
        <w:tc>
          <w:tcPr>
            <w:tcW w:w="2455" w:type="pct"/>
          </w:tcPr>
          <w:p w:rsidR="00C50978" w:rsidRPr="006D153A" w:rsidRDefault="00C50978" w:rsidP="00C509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5" w:type="pct"/>
          </w:tcPr>
          <w:p w:rsidR="00491117" w:rsidRPr="006D153A" w:rsidRDefault="00491117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 w:rsidR="00491117" w:rsidRPr="006D153A" w:rsidRDefault="00491117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91117" w:rsidRPr="006D153A" w:rsidRDefault="00491117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91117" w:rsidRPr="006D153A" w:rsidRDefault="00491117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491117" w:rsidRPr="006D153A" w:rsidRDefault="0019245F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9111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CD58FD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23.09.2024 </w:t>
            </w:r>
            <w:r w:rsidR="0049111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CD58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1291</w:t>
            </w:r>
          </w:p>
          <w:p w:rsidR="00C50978" w:rsidRPr="006D153A" w:rsidRDefault="00C50978" w:rsidP="00491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51FF4" w:rsidRPr="006D153A" w:rsidRDefault="00D51FF4" w:rsidP="001471F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7184" w:rsidRPr="006D153A" w:rsidRDefault="00317184" w:rsidP="0031718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>РЕЕСТР</w:t>
      </w:r>
    </w:p>
    <w:p w:rsidR="00D51FF4" w:rsidRPr="006D153A" w:rsidRDefault="00317184" w:rsidP="001471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53A">
        <w:rPr>
          <w:rFonts w:ascii="Times New Roman" w:hAnsi="Times New Roman"/>
          <w:color w:val="000000"/>
          <w:sz w:val="28"/>
          <w:szCs w:val="28"/>
        </w:rPr>
        <w:t>муниципальных услу</w:t>
      </w:r>
      <w:r w:rsidR="00FE4E44" w:rsidRPr="006D153A">
        <w:rPr>
          <w:rFonts w:ascii="Times New Roman" w:hAnsi="Times New Roman"/>
          <w:color w:val="000000"/>
          <w:sz w:val="28"/>
          <w:szCs w:val="28"/>
        </w:rPr>
        <w:t>г</w:t>
      </w:r>
      <w:r w:rsidRPr="006D153A">
        <w:rPr>
          <w:rFonts w:ascii="Times New Roman" w:hAnsi="Times New Roman"/>
          <w:color w:val="000000"/>
          <w:sz w:val="28"/>
          <w:szCs w:val="28"/>
        </w:rPr>
        <w:t>, предоставляемых администрацией Кореновского городского поселения Кореновского района</w:t>
      </w:r>
    </w:p>
    <w:p w:rsidR="0026421A" w:rsidRPr="006D153A" w:rsidRDefault="0026421A" w:rsidP="001471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3827"/>
      </w:tblGrid>
      <w:tr w:rsidR="003B2F32" w:rsidRPr="006D153A" w:rsidTr="003B2F32">
        <w:trPr>
          <w:trHeight w:val="567"/>
        </w:trPr>
        <w:tc>
          <w:tcPr>
            <w:tcW w:w="993" w:type="dxa"/>
            <w:hideMark/>
          </w:tcPr>
          <w:p w:rsidR="003B2F32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  <w:p w:rsidR="003B2F32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  <w:p w:rsidR="003B2F32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  <w:p w:rsidR="003B2F32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  <w:p w:rsidR="003B2F32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  <w:p w:rsidR="00317184" w:rsidRPr="006D153A" w:rsidRDefault="003B2F32" w:rsidP="003B2F32">
            <w:pPr>
              <w:spacing w:after="0" w:line="240" w:lineRule="auto"/>
              <w:ind w:left="176" w:hanging="184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№ п/п</w:t>
            </w:r>
          </w:p>
        </w:tc>
        <w:tc>
          <w:tcPr>
            <w:tcW w:w="4819" w:type="dxa"/>
            <w:hideMark/>
          </w:tcPr>
          <w:p w:rsidR="00317184" w:rsidRPr="006D153A" w:rsidRDefault="00317184" w:rsidP="002517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муниципальной услуги 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отраслевого (функционального) органа администрации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</w:tr>
      <w:tr w:rsidR="003B2F32" w:rsidRPr="006D153A" w:rsidTr="003B2F32">
        <w:trPr>
          <w:trHeight w:val="270"/>
        </w:trPr>
        <w:tc>
          <w:tcPr>
            <w:tcW w:w="993" w:type="dxa"/>
            <w:hideMark/>
          </w:tcPr>
          <w:p w:rsidR="00317184" w:rsidRPr="006D153A" w:rsidRDefault="00317184" w:rsidP="003B2F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317184" w:rsidP="00F8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F804F5">
        <w:trPr>
          <w:trHeight w:val="136"/>
        </w:trPr>
        <w:tc>
          <w:tcPr>
            <w:tcW w:w="9639" w:type="dxa"/>
            <w:gridSpan w:val="3"/>
          </w:tcPr>
          <w:p w:rsidR="00317184" w:rsidRPr="006D153A" w:rsidRDefault="006179F0" w:rsidP="003B2F3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1</w:t>
            </w:r>
            <w:r w:rsidR="00317184"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Муниц</w:t>
            </w:r>
            <w:r w:rsidR="003B2F32"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и</w:t>
            </w:r>
            <w:r w:rsidR="00317184"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пальные услуги</w:t>
            </w:r>
          </w:p>
        </w:tc>
      </w:tr>
      <w:tr w:rsidR="003B2F32" w:rsidRPr="006D153A" w:rsidTr="00F804F5">
        <w:trPr>
          <w:trHeight w:val="267"/>
        </w:trPr>
        <w:tc>
          <w:tcPr>
            <w:tcW w:w="9639" w:type="dxa"/>
            <w:gridSpan w:val="3"/>
          </w:tcPr>
          <w:p w:rsidR="00317184" w:rsidRPr="006D153A" w:rsidRDefault="00CD5EBC" w:rsidP="003B2F3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И</w:t>
            </w:r>
            <w:r w:rsidR="00317184"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 xml:space="preserve">мущественные </w:t>
            </w: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 xml:space="preserve">и земельные </w:t>
            </w:r>
            <w:r w:rsidR="00317184"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отношения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 w:val="restart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hideMark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</w:t>
            </w:r>
            <w:r w:rsidR="00082367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для собственных нужд</w:t>
            </w: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3827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FF688F" w:rsidP="00CD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граждан на учет </w:t>
            </w:r>
            <w:r w:rsidR="008248F0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в качестве лиц, имеющих право на предоставление земельных участков</w:t>
            </w:r>
            <w:r w:rsidR="0084637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собственность бесплатно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собственность, аренду,</w:t>
            </w:r>
            <w:r w:rsidR="008248F0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постоянное (бессрочное) пользование,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безвозмездное пользование земельного участка,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находящегося в государственной или муниципальной собственности, без проведения торгов.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 w:val="restart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17184" w:rsidRPr="006D153A" w:rsidRDefault="00D1074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3827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C97017" w:rsidRPr="006D153A" w:rsidTr="003B2F32">
        <w:trPr>
          <w:trHeight w:val="322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 w:val="restart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hideMark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3827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C97017" w:rsidRPr="006D153A" w:rsidTr="003B2F32">
        <w:trPr>
          <w:trHeight w:val="322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 w:val="restart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827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C97017" w:rsidRPr="006D153A" w:rsidTr="003B2F32">
        <w:trPr>
          <w:trHeight w:val="322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7B39D9" w:rsidP="007B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Отнесение земель или земельных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280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D10744" w:rsidP="00F6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Предоставлени</w:t>
            </w:r>
            <w:r w:rsidR="00F63F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 информации об объектах учета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 реестра муниципального имущества.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968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6908DC" w:rsidP="00F8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Перераспределение</w:t>
            </w:r>
            <w:r w:rsidR="00317184"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земель и (или) земельных участков, находящихся в государственной или муниципальной собственности, и земельных участков, </w:t>
            </w:r>
            <w:r w:rsidR="00317184"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находящихся в частной собственности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Выдача разрешения на исп</w:t>
            </w:r>
            <w:r w:rsidR="007B39D9"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ользование земель или земельных участков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находящихся в государственной или муниципальной собственности</w:t>
            </w:r>
            <w:r w:rsidR="007B39D9"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расположенных на территории Кореновского городского поселения Кореновского района, для возведения гражданами гаражей, являющихся некапитальными сооружениями, либо стоянок технических ли других средств передвижения инвалидов вблизи их места жительства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40081C" w:rsidP="00F8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сервитутов, публичного сервитута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646B40" w:rsidP="00C970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использование земель</w:t>
            </w:r>
            <w:r w:rsidR="00C9701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земельного участка, находящих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ся в государственной или муниципальной собственности</w:t>
            </w:r>
            <w:r w:rsidR="00DA1F58">
              <w:rPr>
                <w:rFonts w:ascii="Times New Roman" w:hAnsi="Times New Roman"/>
                <w:color w:val="000000"/>
                <w:sz w:val="28"/>
                <w:szCs w:val="28"/>
              </w:rPr>
              <w:t>, без предоставления земельных участков и установления сервитута, публичного сервитута</w:t>
            </w:r>
          </w:p>
        </w:tc>
        <w:tc>
          <w:tcPr>
            <w:tcW w:w="3827" w:type="dxa"/>
          </w:tcPr>
          <w:p w:rsidR="00317184" w:rsidRPr="006D153A" w:rsidRDefault="007A3366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8D0FCC" w:rsidRPr="006D153A" w:rsidRDefault="008D0FCC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8D0FCC" w:rsidRPr="006D153A" w:rsidRDefault="008D0FCC" w:rsidP="00400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публичного сервитута</w:t>
            </w:r>
          </w:p>
        </w:tc>
        <w:tc>
          <w:tcPr>
            <w:tcW w:w="3827" w:type="dxa"/>
          </w:tcPr>
          <w:p w:rsidR="008D0FCC" w:rsidRPr="006D153A" w:rsidRDefault="008D0FCC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40081C" w:rsidRPr="006D153A" w:rsidRDefault="0040081C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081C" w:rsidRPr="006D153A" w:rsidRDefault="00C97017" w:rsidP="00400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</w:t>
            </w:r>
            <w:r w:rsidR="0040081C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827" w:type="dxa"/>
          </w:tcPr>
          <w:p w:rsidR="0040081C" w:rsidRPr="006D153A" w:rsidRDefault="00057A09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082367" w:rsidRPr="006D153A" w:rsidRDefault="00082367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82367" w:rsidRPr="006D153A" w:rsidRDefault="00DD55EC" w:rsidP="00DD55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участка, находящегося в муниципальной собственности или гос</w:t>
            </w:r>
            <w:r w:rsidR="0008236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ударственн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ая собственность </w:t>
            </w:r>
            <w:r w:rsidR="007B39D9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которых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не разграничена,</w:t>
            </w:r>
            <w:r w:rsidR="0008236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торгах</w:t>
            </w:r>
          </w:p>
        </w:tc>
        <w:tc>
          <w:tcPr>
            <w:tcW w:w="3827" w:type="dxa"/>
          </w:tcPr>
          <w:p w:rsidR="00082367" w:rsidRPr="006D153A" w:rsidRDefault="00082367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646B40" w:rsidRPr="006D153A" w:rsidRDefault="00646B40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646B40" w:rsidRPr="006D153A" w:rsidRDefault="00646B40" w:rsidP="00DD55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Прекращение права постоянного (бессрочного) пользования и пожизненного наследуемого владения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827" w:type="dxa"/>
          </w:tcPr>
          <w:p w:rsidR="00646B40" w:rsidRPr="006D153A" w:rsidRDefault="00DF1380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 имущественных и земельных отношений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6179F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Градостроительство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CA35F4" w:rsidP="00CA35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</w:t>
            </w:r>
            <w:r w:rsidR="00317184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строительство</w:t>
            </w:r>
            <w:r w:rsidR="00CD5EBC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234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04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разрешений на ввод в эксплуатацию</w:t>
            </w:r>
            <w:r w:rsidR="00CD5EBC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F0404E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CD5EBC" w:rsidP="00F040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Направление уведомления </w:t>
            </w:r>
            <w:r w:rsidR="00F0404E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C97017" w:rsidRPr="006D153A" w:rsidRDefault="00C97017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17" w:rsidRPr="006D153A" w:rsidRDefault="00C97017" w:rsidP="00F040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  <w:tc>
          <w:tcPr>
            <w:tcW w:w="3827" w:type="dxa"/>
          </w:tcPr>
          <w:p w:rsidR="00C97017" w:rsidRPr="006D153A" w:rsidRDefault="00C97017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600B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8552B8" w:rsidP="008552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8552B8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895A16" w:rsidRPr="006D153A" w:rsidRDefault="00895A16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895A16" w:rsidRPr="006D153A" w:rsidRDefault="008552B8" w:rsidP="00C970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Подготовк</w:t>
            </w:r>
            <w:r w:rsidR="00C9701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и утверждение документации по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планировке территории</w:t>
            </w:r>
          </w:p>
        </w:tc>
        <w:tc>
          <w:tcPr>
            <w:tcW w:w="3827" w:type="dxa"/>
          </w:tcPr>
          <w:p w:rsidR="00895A16" w:rsidRPr="006D153A" w:rsidRDefault="00895A16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082367" w:rsidRPr="006D153A" w:rsidRDefault="00082367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82367" w:rsidRPr="006D153A" w:rsidRDefault="001A5C98" w:rsidP="00FA70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3827" w:type="dxa"/>
          </w:tcPr>
          <w:p w:rsidR="00082367" w:rsidRPr="006D153A" w:rsidRDefault="001A5C98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F804F5">
        <w:trPr>
          <w:trHeight w:val="70"/>
        </w:trPr>
        <w:tc>
          <w:tcPr>
            <w:tcW w:w="9639" w:type="dxa"/>
            <w:gridSpan w:val="3"/>
          </w:tcPr>
          <w:p w:rsidR="00317184" w:rsidRPr="006D153A" w:rsidRDefault="00317184" w:rsidP="006179F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разрешения </w:t>
            </w:r>
            <w:r w:rsidR="00646B40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(дубликата или копии разрешения)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на право организации розничного рынка</w:t>
            </w:r>
          </w:p>
        </w:tc>
        <w:tc>
          <w:tcPr>
            <w:tcW w:w="3827" w:type="dxa"/>
          </w:tcPr>
          <w:p w:rsidR="00317184" w:rsidRPr="006D153A" w:rsidRDefault="003F3E13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Организационно-кадровый отдел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DF1380" w:rsidRPr="006D153A" w:rsidRDefault="00DF1380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DF1380" w:rsidRPr="006D153A" w:rsidRDefault="00DF1380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о проведении ярмарки, выставки-ярмарки</w:t>
            </w:r>
          </w:p>
        </w:tc>
        <w:tc>
          <w:tcPr>
            <w:tcW w:w="3827" w:type="dxa"/>
          </w:tcPr>
          <w:p w:rsidR="00DF1380" w:rsidRPr="006D153A" w:rsidRDefault="00DF1380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Организационно-кадровый отдел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FF688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Социальное обслуживание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Общий отдел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Уведомительная регистрация трудового договора с работодателем –физическим лицом, не являющимся индивидуальным предпринимателем.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Организационно-кадровый отдел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646B40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согласия на обмен жилыми помещениями, предоставленными</w:t>
            </w:r>
            <w:r w:rsidR="007A3366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договорам социального найма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06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Принятие на учет граждан в качестве нуждающихся в жилых помещениях, 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276"/>
        </w:trPr>
        <w:tc>
          <w:tcPr>
            <w:tcW w:w="993" w:type="dxa"/>
          </w:tcPr>
          <w:p w:rsidR="00F06109" w:rsidRPr="006D153A" w:rsidRDefault="00F06109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F06109" w:rsidRPr="006D153A" w:rsidRDefault="00F06109" w:rsidP="00F06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827" w:type="dxa"/>
          </w:tcPr>
          <w:p w:rsidR="00F06109" w:rsidRPr="006D153A" w:rsidRDefault="00C97017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600B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FF688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копий правовых актов администрации Кореновского городского поселения Кореновского района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Общий отдел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FF688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Жилищно-коммунальное хозяйство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vMerge w:val="restart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Согласование </w:t>
            </w:r>
            <w:r w:rsidR="00C97017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проведения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переустройства и (или) перепланировки помещения в многоквартирном доме</w:t>
            </w:r>
          </w:p>
        </w:tc>
        <w:tc>
          <w:tcPr>
            <w:tcW w:w="3827" w:type="dxa"/>
            <w:vMerge w:val="restart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архитектуры и градостроительства </w:t>
            </w:r>
          </w:p>
        </w:tc>
      </w:tr>
      <w:tr w:rsidR="00C97017" w:rsidRPr="006D153A" w:rsidTr="003B2F32">
        <w:trPr>
          <w:trHeight w:val="322"/>
        </w:trPr>
        <w:tc>
          <w:tcPr>
            <w:tcW w:w="993" w:type="dxa"/>
            <w:vMerge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565C" w:rsidRPr="0037565C" w:rsidTr="003B2F32">
        <w:trPr>
          <w:trHeight w:val="567"/>
        </w:trPr>
        <w:tc>
          <w:tcPr>
            <w:tcW w:w="993" w:type="dxa"/>
          </w:tcPr>
          <w:p w:rsidR="0037565C" w:rsidRPr="003B2F32" w:rsidRDefault="0037565C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7565C" w:rsidRPr="0037565C" w:rsidRDefault="00054F2C" w:rsidP="003756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5C">
              <w:rPr>
                <w:rFonts w:ascii="Times New Roman" w:hAnsi="Times New Roman"/>
                <w:color w:val="000000"/>
                <w:sz w:val="28"/>
                <w:szCs w:val="28"/>
              </w:rPr>
              <w:t>Выдача акта о приеме (об отказе) завершенного переустройства и (или) перепланировки жилого (нежилого) помещения акта о завершении переустройства и (или) перепланировки жилого (нежилого) помещения</w:t>
            </w:r>
          </w:p>
        </w:tc>
        <w:tc>
          <w:tcPr>
            <w:tcW w:w="3827" w:type="dxa"/>
          </w:tcPr>
          <w:p w:rsidR="0037565C" w:rsidRPr="0037565C" w:rsidRDefault="0037565C" w:rsidP="003756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5C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Перевод жилого </w:t>
            </w:r>
            <w:r w:rsidR="00D10744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помещения в нежилое помещение </w:t>
            </w: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нежилого помещения в жилое помещение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E046A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8552B8" w:rsidP="008552B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Признание </w:t>
            </w:r>
            <w:r w:rsidR="00317184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садового дома жилым домом и жилого дома садовым домом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порубочного билета</w:t>
            </w:r>
            <w:r w:rsidR="009617B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разрешение на пересадку зеленых насаждений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жилищно-коммунального хозяйства, благоустройства и транспорта 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17184" w:rsidRPr="006D153A" w:rsidRDefault="00742790" w:rsidP="00F804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Передача в собственность граждан занимаемых ими жилых помещений жилищного фонда </w:t>
            </w:r>
            <w:r w:rsidR="007A3366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(приватизация жилищного фонда) 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2D73F3" w:rsidRPr="006D153A" w:rsidRDefault="002D73F3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D73F3" w:rsidRPr="006D153A" w:rsidRDefault="002D73F3" w:rsidP="002D73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 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 за исключением отдельных объектов культурного наследия, перечень которых устанавливается Правительством Российской Федерации), регионального значения и местного (муниципального) значения</w:t>
            </w:r>
          </w:p>
        </w:tc>
        <w:tc>
          <w:tcPr>
            <w:tcW w:w="3827" w:type="dxa"/>
          </w:tcPr>
          <w:p w:rsidR="002D73F3" w:rsidRPr="006D153A" w:rsidRDefault="002D73F3" w:rsidP="002D73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FF688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Прочее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C4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827" w:type="dxa"/>
          </w:tcPr>
          <w:p w:rsidR="00317184" w:rsidRPr="006D153A" w:rsidRDefault="00D04E28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 по ГО, ЧС и административно-санитарной работе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646B40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Согласование создания места (площадки) накопления твердых коммунальных отходов</w:t>
            </w:r>
            <w:r w:rsidR="00D10744"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территории Кореновского городского поселения</w:t>
            </w:r>
          </w:p>
        </w:tc>
        <w:tc>
          <w:tcPr>
            <w:tcW w:w="3827" w:type="dxa"/>
          </w:tcPr>
          <w:p w:rsidR="00317184" w:rsidRPr="006D153A" w:rsidRDefault="00D04E28" w:rsidP="007A3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 по ГО, ЧС и административно-санитарной работе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646B40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827" w:type="dxa"/>
          </w:tcPr>
          <w:p w:rsidR="00317184" w:rsidRPr="006D153A" w:rsidRDefault="007A3366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2D73F3" w:rsidRPr="006D153A" w:rsidRDefault="002D73F3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3" w:rsidRPr="006D153A" w:rsidRDefault="002D73F3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Выдача разрешения на перемещение отходов строительства, сноса зданий и сооружений в том числе грунтов</w:t>
            </w:r>
          </w:p>
        </w:tc>
        <w:tc>
          <w:tcPr>
            <w:tcW w:w="3827" w:type="dxa"/>
          </w:tcPr>
          <w:p w:rsidR="002D73F3" w:rsidRPr="006D153A" w:rsidRDefault="002D73F3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C97017" w:rsidRPr="006D153A" w:rsidRDefault="00C97017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17" w:rsidRPr="006D153A" w:rsidRDefault="00C97017" w:rsidP="00F80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3827" w:type="dxa"/>
          </w:tcPr>
          <w:p w:rsidR="00C97017" w:rsidRPr="006D153A" w:rsidRDefault="00C97017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646B40" w:rsidP="00F8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имущественных и земельных отношений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7184" w:rsidRPr="006D153A" w:rsidRDefault="00317184" w:rsidP="001A5C98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</w:t>
            </w:r>
            <w:r w:rsidR="001A5C98"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участка земли </w:t>
            </w: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для создания семейного (родового) захоронения</w:t>
            </w:r>
          </w:p>
        </w:tc>
        <w:tc>
          <w:tcPr>
            <w:tcW w:w="3827" w:type="dxa"/>
          </w:tcPr>
          <w:p w:rsidR="00317184" w:rsidRPr="006D153A" w:rsidRDefault="00317184" w:rsidP="00F804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Отдел жилищно-коммунального хозяйства, благоустройства и транспорта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</w:tcPr>
          <w:p w:rsidR="00F67109" w:rsidRPr="006D153A" w:rsidRDefault="00F67109" w:rsidP="006179F0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4819" w:type="dxa"/>
          </w:tcPr>
          <w:p w:rsidR="00F67109" w:rsidRPr="006D153A" w:rsidRDefault="00F67109" w:rsidP="00F804F5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3827" w:type="dxa"/>
          </w:tcPr>
          <w:p w:rsidR="00F67109" w:rsidRPr="006D153A" w:rsidRDefault="00F67109" w:rsidP="00F671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Финансово-экономический отдел</w:t>
            </w:r>
          </w:p>
        </w:tc>
      </w:tr>
      <w:tr w:rsidR="003B2F32" w:rsidRPr="006D153A" w:rsidTr="00F804F5">
        <w:trPr>
          <w:trHeight w:val="567"/>
        </w:trPr>
        <w:tc>
          <w:tcPr>
            <w:tcW w:w="9639" w:type="dxa"/>
            <w:gridSpan w:val="3"/>
          </w:tcPr>
          <w:p w:rsidR="00317184" w:rsidRPr="006D153A" w:rsidRDefault="00317184" w:rsidP="00FF68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  <w:p w:rsidR="00317184" w:rsidRPr="006D153A" w:rsidRDefault="00317184" w:rsidP="003B2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схемы расположения земельного участка на кадастровом плане или кадастровой карте соответствующей территории</w:t>
            </w:r>
          </w:p>
        </w:tc>
      </w:tr>
      <w:tr w:rsidR="003B2F32" w:rsidRPr="006D153A" w:rsidTr="003B2F32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материалов аналитических (инструментальных) измерений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и подписанной лицом, осуществляющим строительство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проекта переустройства и (или) перепланировки переустраиваемого и (или) перепланируемого помещения в многоквартирном доме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справок, иных документов из органа, осуществляющего технический учёт жилищного фонда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материалов, содержащихся в проектной документации: 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пояснительная записка;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схемы, отображающие архитектурные решения;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е) проект организации строительства объекта капитального строительства;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частей;</w:t>
            </w:r>
          </w:p>
          <w:p w:rsidR="00317184" w:rsidRPr="006D153A" w:rsidRDefault="00317184" w:rsidP="00F804F5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заключения органа по охране памятников архитектуры, истории и культуры о допустимости проведения работ в случае если объект, в отношении которого проводятся работы, является памятником архитектуры, истории, культуры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и выдача топографической сьемки земельного участка 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медицинской справки о наличии беременности у несовершеннолетней, наличии тяжелой формы хронического заболевания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Нотариальные услуги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suppressLineNumbers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и выдача схемы на кадастровом плане территории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технического проекта создания геодезической сети специального назначения, согласованного с Федеральной службой государственной регистрации, кадастра и картографии или с ее территориальным органом, или технический проект создания государственной геодезической сети (в случае, если планируется размещение геодезических знаков)</w:t>
            </w:r>
          </w:p>
        </w:tc>
      </w:tr>
      <w:tr w:rsidR="003B2F32" w:rsidRPr="006D153A" w:rsidTr="003B2F32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6179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84" w:rsidRPr="006D153A" w:rsidRDefault="00317184" w:rsidP="00F804F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53A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материалов, подтверждающих наличие у земельного участка характеристик,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строительства: 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которые неблагоприятны для застройки</w:t>
            </w:r>
          </w:p>
        </w:tc>
      </w:tr>
    </w:tbl>
    <w:p w:rsidR="00317184" w:rsidRPr="006D153A" w:rsidRDefault="00317184" w:rsidP="00694A9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439B1" w:rsidRPr="006D153A" w:rsidRDefault="00B439B1" w:rsidP="00694A9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5D99" w:rsidRDefault="00057A09" w:rsidP="004D5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D5D9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4D5D99">
        <w:rPr>
          <w:rFonts w:ascii="Times New Roman" w:hAnsi="Times New Roman"/>
          <w:sz w:val="28"/>
          <w:szCs w:val="28"/>
        </w:rPr>
        <w:t xml:space="preserve">юридического отдела </w:t>
      </w:r>
    </w:p>
    <w:p w:rsidR="004D5D99" w:rsidRDefault="004D5D99" w:rsidP="004D5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городского </w:t>
      </w:r>
    </w:p>
    <w:p w:rsidR="004D5D99" w:rsidRDefault="004D5D99" w:rsidP="004D5D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 w:rsidR="00057A0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57A09">
        <w:rPr>
          <w:rFonts w:ascii="Times New Roman" w:hAnsi="Times New Roman"/>
          <w:sz w:val="28"/>
          <w:szCs w:val="28"/>
        </w:rPr>
        <w:t>В.Г. Жабина</w:t>
      </w:r>
    </w:p>
    <w:p w:rsidR="00694A91" w:rsidRPr="006D153A" w:rsidRDefault="00694A91" w:rsidP="004D5D9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94A91" w:rsidRPr="006D153A" w:rsidSect="00FF688F">
      <w:headerReference w:type="default" r:id="rId10"/>
      <w:pgSz w:w="11906" w:h="16838"/>
      <w:pgMar w:top="1134" w:right="567" w:bottom="142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1E" w:rsidRDefault="00F3791E" w:rsidP="005C7198">
      <w:pPr>
        <w:spacing w:after="0" w:line="240" w:lineRule="auto"/>
      </w:pPr>
      <w:r>
        <w:separator/>
      </w:r>
    </w:p>
  </w:endnote>
  <w:endnote w:type="continuationSeparator" w:id="0">
    <w:p w:rsidR="00F3791E" w:rsidRDefault="00F3791E" w:rsidP="005C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1E" w:rsidRDefault="00F3791E" w:rsidP="005C7198">
      <w:pPr>
        <w:spacing w:after="0" w:line="240" w:lineRule="auto"/>
      </w:pPr>
      <w:r>
        <w:separator/>
      </w:r>
    </w:p>
  </w:footnote>
  <w:footnote w:type="continuationSeparator" w:id="0">
    <w:p w:rsidR="00F3791E" w:rsidRDefault="00F3791E" w:rsidP="005C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06" w:rsidRPr="00020D3E" w:rsidRDefault="00250506" w:rsidP="00250506">
    <w:pPr>
      <w:pStyle w:val="a3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020D3E">
      <w:rPr>
        <w:rFonts w:ascii="Times New Roman" w:hAnsi="Times New Roman"/>
        <w:color w:val="FFFFFF"/>
        <w:sz w:val="28"/>
        <w:szCs w:val="28"/>
      </w:rPr>
      <w:fldChar w:fldCharType="begin"/>
    </w:r>
    <w:r w:rsidRPr="00020D3E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020D3E">
      <w:rPr>
        <w:rFonts w:ascii="Times New Roman" w:hAnsi="Times New Roman"/>
        <w:color w:val="FFFFFF"/>
        <w:sz w:val="28"/>
        <w:szCs w:val="28"/>
      </w:rPr>
      <w:fldChar w:fldCharType="separate"/>
    </w:r>
    <w:r w:rsidR="00D958D1">
      <w:rPr>
        <w:rFonts w:ascii="Times New Roman" w:hAnsi="Times New Roman"/>
        <w:noProof/>
        <w:color w:val="FFFFFF"/>
        <w:sz w:val="28"/>
        <w:szCs w:val="28"/>
      </w:rPr>
      <w:t>5</w:t>
    </w:r>
    <w:r w:rsidRPr="00020D3E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3367"/>
    <w:multiLevelType w:val="hybridMultilevel"/>
    <w:tmpl w:val="7FF0ADBE"/>
    <w:lvl w:ilvl="0" w:tplc="EDAEB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054A5"/>
    <w:multiLevelType w:val="hybridMultilevel"/>
    <w:tmpl w:val="5E30DD1C"/>
    <w:lvl w:ilvl="0" w:tplc="32681F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9B7"/>
    <w:rsid w:val="00014A89"/>
    <w:rsid w:val="00020D3E"/>
    <w:rsid w:val="00021EF7"/>
    <w:rsid w:val="000232C5"/>
    <w:rsid w:val="000246F6"/>
    <w:rsid w:val="00031F1F"/>
    <w:rsid w:val="0003356A"/>
    <w:rsid w:val="0004345E"/>
    <w:rsid w:val="000520B9"/>
    <w:rsid w:val="00052CB2"/>
    <w:rsid w:val="00054F2C"/>
    <w:rsid w:val="00057A09"/>
    <w:rsid w:val="00070647"/>
    <w:rsid w:val="000741F1"/>
    <w:rsid w:val="000768BE"/>
    <w:rsid w:val="00082367"/>
    <w:rsid w:val="0008288E"/>
    <w:rsid w:val="0008444C"/>
    <w:rsid w:val="000C2BEF"/>
    <w:rsid w:val="000C4AFF"/>
    <w:rsid w:val="000C5CDA"/>
    <w:rsid w:val="000E50FC"/>
    <w:rsid w:val="000E5C9B"/>
    <w:rsid w:val="000E5FA7"/>
    <w:rsid w:val="000F06B5"/>
    <w:rsid w:val="00104C4D"/>
    <w:rsid w:val="001051B9"/>
    <w:rsid w:val="00105689"/>
    <w:rsid w:val="001175A1"/>
    <w:rsid w:val="0013186B"/>
    <w:rsid w:val="001471FB"/>
    <w:rsid w:val="00147FEF"/>
    <w:rsid w:val="0015579D"/>
    <w:rsid w:val="00155F87"/>
    <w:rsid w:val="00155FE4"/>
    <w:rsid w:val="00163952"/>
    <w:rsid w:val="00171AAF"/>
    <w:rsid w:val="00175E7E"/>
    <w:rsid w:val="0019245F"/>
    <w:rsid w:val="00192751"/>
    <w:rsid w:val="001951FD"/>
    <w:rsid w:val="001A5C98"/>
    <w:rsid w:val="001A6F45"/>
    <w:rsid w:val="001B1C2A"/>
    <w:rsid w:val="001B5A76"/>
    <w:rsid w:val="001C15BF"/>
    <w:rsid w:val="001C4815"/>
    <w:rsid w:val="001C7861"/>
    <w:rsid w:val="001D5AF3"/>
    <w:rsid w:val="001E610D"/>
    <w:rsid w:val="001F0E84"/>
    <w:rsid w:val="00201C94"/>
    <w:rsid w:val="00206A2F"/>
    <w:rsid w:val="00244BE0"/>
    <w:rsid w:val="00250506"/>
    <w:rsid w:val="002517F9"/>
    <w:rsid w:val="00256DB3"/>
    <w:rsid w:val="0026421A"/>
    <w:rsid w:val="002752C3"/>
    <w:rsid w:val="002772B7"/>
    <w:rsid w:val="002853FC"/>
    <w:rsid w:val="002876C8"/>
    <w:rsid w:val="00291502"/>
    <w:rsid w:val="00295B43"/>
    <w:rsid w:val="00295B9D"/>
    <w:rsid w:val="002B1657"/>
    <w:rsid w:val="002C7675"/>
    <w:rsid w:val="002D3AD2"/>
    <w:rsid w:val="002D73F3"/>
    <w:rsid w:val="002E3207"/>
    <w:rsid w:val="002F4A47"/>
    <w:rsid w:val="00305FAD"/>
    <w:rsid w:val="00316CA1"/>
    <w:rsid w:val="00317184"/>
    <w:rsid w:val="0034412A"/>
    <w:rsid w:val="00357D98"/>
    <w:rsid w:val="00371DA4"/>
    <w:rsid w:val="00372888"/>
    <w:rsid w:val="00372E0D"/>
    <w:rsid w:val="0037565C"/>
    <w:rsid w:val="00376252"/>
    <w:rsid w:val="0038110C"/>
    <w:rsid w:val="0038530A"/>
    <w:rsid w:val="003932A5"/>
    <w:rsid w:val="003959D2"/>
    <w:rsid w:val="003A4501"/>
    <w:rsid w:val="003A6BE9"/>
    <w:rsid w:val="003B1522"/>
    <w:rsid w:val="003B2F32"/>
    <w:rsid w:val="003B2F6E"/>
    <w:rsid w:val="003B662E"/>
    <w:rsid w:val="003C7281"/>
    <w:rsid w:val="003D4C9D"/>
    <w:rsid w:val="003E0A10"/>
    <w:rsid w:val="003E19ED"/>
    <w:rsid w:val="003F12F5"/>
    <w:rsid w:val="003F2054"/>
    <w:rsid w:val="003F3E13"/>
    <w:rsid w:val="0040081C"/>
    <w:rsid w:val="00412C97"/>
    <w:rsid w:val="00413A80"/>
    <w:rsid w:val="00416659"/>
    <w:rsid w:val="00423257"/>
    <w:rsid w:val="00423F81"/>
    <w:rsid w:val="004315B8"/>
    <w:rsid w:val="00431A85"/>
    <w:rsid w:val="00435D43"/>
    <w:rsid w:val="004411E7"/>
    <w:rsid w:val="00443D93"/>
    <w:rsid w:val="00464B73"/>
    <w:rsid w:val="00465C05"/>
    <w:rsid w:val="00466795"/>
    <w:rsid w:val="00471BDD"/>
    <w:rsid w:val="004721F0"/>
    <w:rsid w:val="00475B6B"/>
    <w:rsid w:val="00476E3C"/>
    <w:rsid w:val="00486045"/>
    <w:rsid w:val="00491117"/>
    <w:rsid w:val="004936C9"/>
    <w:rsid w:val="00495592"/>
    <w:rsid w:val="004A4C75"/>
    <w:rsid w:val="004B46DC"/>
    <w:rsid w:val="004B6AE6"/>
    <w:rsid w:val="004B7533"/>
    <w:rsid w:val="004C33F6"/>
    <w:rsid w:val="004C613E"/>
    <w:rsid w:val="004D130F"/>
    <w:rsid w:val="004D5D99"/>
    <w:rsid w:val="004E2B31"/>
    <w:rsid w:val="004E6368"/>
    <w:rsid w:val="004E6F5B"/>
    <w:rsid w:val="004F7692"/>
    <w:rsid w:val="00503F24"/>
    <w:rsid w:val="00504E26"/>
    <w:rsid w:val="00505BCF"/>
    <w:rsid w:val="00505DED"/>
    <w:rsid w:val="0052270F"/>
    <w:rsid w:val="00523BD5"/>
    <w:rsid w:val="00524630"/>
    <w:rsid w:val="005305A4"/>
    <w:rsid w:val="00535F3B"/>
    <w:rsid w:val="005457BC"/>
    <w:rsid w:val="00555E94"/>
    <w:rsid w:val="00560CE1"/>
    <w:rsid w:val="00570C4D"/>
    <w:rsid w:val="00575C19"/>
    <w:rsid w:val="00586070"/>
    <w:rsid w:val="00586129"/>
    <w:rsid w:val="0058616E"/>
    <w:rsid w:val="005967C5"/>
    <w:rsid w:val="00596860"/>
    <w:rsid w:val="005A76DA"/>
    <w:rsid w:val="005A77A2"/>
    <w:rsid w:val="005C5661"/>
    <w:rsid w:val="005C6E60"/>
    <w:rsid w:val="005C7198"/>
    <w:rsid w:val="005D7EB1"/>
    <w:rsid w:val="005F3A62"/>
    <w:rsid w:val="00601E6B"/>
    <w:rsid w:val="006179F0"/>
    <w:rsid w:val="00617BAD"/>
    <w:rsid w:val="00623284"/>
    <w:rsid w:val="00625145"/>
    <w:rsid w:val="0062574D"/>
    <w:rsid w:val="00631A7C"/>
    <w:rsid w:val="006323D1"/>
    <w:rsid w:val="00636B07"/>
    <w:rsid w:val="0064656F"/>
    <w:rsid w:val="00646B40"/>
    <w:rsid w:val="00652624"/>
    <w:rsid w:val="00654A87"/>
    <w:rsid w:val="00665991"/>
    <w:rsid w:val="00681F7B"/>
    <w:rsid w:val="006908DC"/>
    <w:rsid w:val="00690C7C"/>
    <w:rsid w:val="0069139A"/>
    <w:rsid w:val="00694A91"/>
    <w:rsid w:val="00697906"/>
    <w:rsid w:val="00697E62"/>
    <w:rsid w:val="006A20DF"/>
    <w:rsid w:val="006C08EE"/>
    <w:rsid w:val="006C0C81"/>
    <w:rsid w:val="006C233B"/>
    <w:rsid w:val="006D153A"/>
    <w:rsid w:val="006D2573"/>
    <w:rsid w:val="006D3558"/>
    <w:rsid w:val="006D3645"/>
    <w:rsid w:val="006E1432"/>
    <w:rsid w:val="006F1AED"/>
    <w:rsid w:val="00721A39"/>
    <w:rsid w:val="007424F0"/>
    <w:rsid w:val="00742790"/>
    <w:rsid w:val="00757C82"/>
    <w:rsid w:val="00772974"/>
    <w:rsid w:val="00775AAE"/>
    <w:rsid w:val="00790BE6"/>
    <w:rsid w:val="00791A61"/>
    <w:rsid w:val="007A0F2A"/>
    <w:rsid w:val="007A3366"/>
    <w:rsid w:val="007B39D9"/>
    <w:rsid w:val="007B5AD4"/>
    <w:rsid w:val="007D59B7"/>
    <w:rsid w:val="007E43F4"/>
    <w:rsid w:val="007F1B26"/>
    <w:rsid w:val="008059AB"/>
    <w:rsid w:val="008113E7"/>
    <w:rsid w:val="00814CBA"/>
    <w:rsid w:val="00815FB4"/>
    <w:rsid w:val="00820192"/>
    <w:rsid w:val="00822630"/>
    <w:rsid w:val="008248F0"/>
    <w:rsid w:val="00826BCA"/>
    <w:rsid w:val="008334FC"/>
    <w:rsid w:val="00835B7D"/>
    <w:rsid w:val="00837914"/>
    <w:rsid w:val="00844DC9"/>
    <w:rsid w:val="0084614E"/>
    <w:rsid w:val="00846377"/>
    <w:rsid w:val="00847100"/>
    <w:rsid w:val="008552B8"/>
    <w:rsid w:val="00862B69"/>
    <w:rsid w:val="00864254"/>
    <w:rsid w:val="00873F3A"/>
    <w:rsid w:val="008815B4"/>
    <w:rsid w:val="00895A16"/>
    <w:rsid w:val="0089666E"/>
    <w:rsid w:val="00897726"/>
    <w:rsid w:val="008A5654"/>
    <w:rsid w:val="008A73F5"/>
    <w:rsid w:val="008B06DC"/>
    <w:rsid w:val="008B1B6D"/>
    <w:rsid w:val="008C1EF5"/>
    <w:rsid w:val="008C3BE8"/>
    <w:rsid w:val="008C649A"/>
    <w:rsid w:val="008C6BDA"/>
    <w:rsid w:val="008D0FCC"/>
    <w:rsid w:val="008D7E2A"/>
    <w:rsid w:val="008F3BD6"/>
    <w:rsid w:val="00900AAE"/>
    <w:rsid w:val="0090131D"/>
    <w:rsid w:val="009031A5"/>
    <w:rsid w:val="00903AC8"/>
    <w:rsid w:val="0091335D"/>
    <w:rsid w:val="00921090"/>
    <w:rsid w:val="0092271B"/>
    <w:rsid w:val="00925A15"/>
    <w:rsid w:val="00930CF0"/>
    <w:rsid w:val="00931389"/>
    <w:rsid w:val="00933321"/>
    <w:rsid w:val="00941AD0"/>
    <w:rsid w:val="00947548"/>
    <w:rsid w:val="00950FE4"/>
    <w:rsid w:val="0095331D"/>
    <w:rsid w:val="00954928"/>
    <w:rsid w:val="009617B4"/>
    <w:rsid w:val="009753F9"/>
    <w:rsid w:val="009755A9"/>
    <w:rsid w:val="00977453"/>
    <w:rsid w:val="0098110F"/>
    <w:rsid w:val="00997A50"/>
    <w:rsid w:val="009B6527"/>
    <w:rsid w:val="009C5D6C"/>
    <w:rsid w:val="009D7D65"/>
    <w:rsid w:val="009E0B24"/>
    <w:rsid w:val="009E2D73"/>
    <w:rsid w:val="009F7ADF"/>
    <w:rsid w:val="00A024AA"/>
    <w:rsid w:val="00A0365F"/>
    <w:rsid w:val="00A10870"/>
    <w:rsid w:val="00A12304"/>
    <w:rsid w:val="00A147B7"/>
    <w:rsid w:val="00A22260"/>
    <w:rsid w:val="00A30784"/>
    <w:rsid w:val="00A31E25"/>
    <w:rsid w:val="00A43971"/>
    <w:rsid w:val="00A454C2"/>
    <w:rsid w:val="00A53B70"/>
    <w:rsid w:val="00A53E45"/>
    <w:rsid w:val="00A668A7"/>
    <w:rsid w:val="00A72DEA"/>
    <w:rsid w:val="00A732CD"/>
    <w:rsid w:val="00A84937"/>
    <w:rsid w:val="00A862DA"/>
    <w:rsid w:val="00A93B30"/>
    <w:rsid w:val="00A961EC"/>
    <w:rsid w:val="00AA4EE3"/>
    <w:rsid w:val="00AA769D"/>
    <w:rsid w:val="00AC58F0"/>
    <w:rsid w:val="00AC706A"/>
    <w:rsid w:val="00AD17E4"/>
    <w:rsid w:val="00AD64B3"/>
    <w:rsid w:val="00AD660B"/>
    <w:rsid w:val="00AF0D1E"/>
    <w:rsid w:val="00AF2155"/>
    <w:rsid w:val="00AF6BE7"/>
    <w:rsid w:val="00B07458"/>
    <w:rsid w:val="00B13862"/>
    <w:rsid w:val="00B13CFC"/>
    <w:rsid w:val="00B169F1"/>
    <w:rsid w:val="00B20588"/>
    <w:rsid w:val="00B25E62"/>
    <w:rsid w:val="00B27D0C"/>
    <w:rsid w:val="00B34E8F"/>
    <w:rsid w:val="00B35D1E"/>
    <w:rsid w:val="00B3754D"/>
    <w:rsid w:val="00B439B1"/>
    <w:rsid w:val="00B4748B"/>
    <w:rsid w:val="00B55731"/>
    <w:rsid w:val="00B704FC"/>
    <w:rsid w:val="00B92634"/>
    <w:rsid w:val="00BB4AD1"/>
    <w:rsid w:val="00BB74DB"/>
    <w:rsid w:val="00BC26BD"/>
    <w:rsid w:val="00BE1DA7"/>
    <w:rsid w:val="00BE218A"/>
    <w:rsid w:val="00BF3C86"/>
    <w:rsid w:val="00C00C1E"/>
    <w:rsid w:val="00C03B08"/>
    <w:rsid w:val="00C06055"/>
    <w:rsid w:val="00C06179"/>
    <w:rsid w:val="00C145A1"/>
    <w:rsid w:val="00C43B11"/>
    <w:rsid w:val="00C44E92"/>
    <w:rsid w:val="00C45D12"/>
    <w:rsid w:val="00C50978"/>
    <w:rsid w:val="00C61744"/>
    <w:rsid w:val="00C631F3"/>
    <w:rsid w:val="00C7334C"/>
    <w:rsid w:val="00C927F9"/>
    <w:rsid w:val="00C95579"/>
    <w:rsid w:val="00C97017"/>
    <w:rsid w:val="00CA35F4"/>
    <w:rsid w:val="00CA5104"/>
    <w:rsid w:val="00CB32F0"/>
    <w:rsid w:val="00CD24DF"/>
    <w:rsid w:val="00CD58FD"/>
    <w:rsid w:val="00CD5EBC"/>
    <w:rsid w:val="00CE4600"/>
    <w:rsid w:val="00CE75CA"/>
    <w:rsid w:val="00CF2001"/>
    <w:rsid w:val="00CF3218"/>
    <w:rsid w:val="00CF6978"/>
    <w:rsid w:val="00CF7283"/>
    <w:rsid w:val="00D03D48"/>
    <w:rsid w:val="00D04E28"/>
    <w:rsid w:val="00D10744"/>
    <w:rsid w:val="00D13BE3"/>
    <w:rsid w:val="00D14AB6"/>
    <w:rsid w:val="00D150DD"/>
    <w:rsid w:val="00D166AB"/>
    <w:rsid w:val="00D24703"/>
    <w:rsid w:val="00D25C5B"/>
    <w:rsid w:val="00D44F28"/>
    <w:rsid w:val="00D45A82"/>
    <w:rsid w:val="00D4600B"/>
    <w:rsid w:val="00D470DF"/>
    <w:rsid w:val="00D51FF4"/>
    <w:rsid w:val="00D52CEE"/>
    <w:rsid w:val="00D844D2"/>
    <w:rsid w:val="00D958D1"/>
    <w:rsid w:val="00D977BD"/>
    <w:rsid w:val="00DA1F58"/>
    <w:rsid w:val="00DB4336"/>
    <w:rsid w:val="00DB5135"/>
    <w:rsid w:val="00DB602D"/>
    <w:rsid w:val="00DC19A8"/>
    <w:rsid w:val="00DD1B22"/>
    <w:rsid w:val="00DD55EC"/>
    <w:rsid w:val="00DE597D"/>
    <w:rsid w:val="00DF0C98"/>
    <w:rsid w:val="00DF1380"/>
    <w:rsid w:val="00DF177E"/>
    <w:rsid w:val="00DF427A"/>
    <w:rsid w:val="00DF6139"/>
    <w:rsid w:val="00E046A4"/>
    <w:rsid w:val="00E132B6"/>
    <w:rsid w:val="00E15718"/>
    <w:rsid w:val="00E221E4"/>
    <w:rsid w:val="00E227D7"/>
    <w:rsid w:val="00E30D61"/>
    <w:rsid w:val="00E31555"/>
    <w:rsid w:val="00E33F8B"/>
    <w:rsid w:val="00E44954"/>
    <w:rsid w:val="00E6650F"/>
    <w:rsid w:val="00E7222D"/>
    <w:rsid w:val="00E72B9D"/>
    <w:rsid w:val="00E730C6"/>
    <w:rsid w:val="00E873F2"/>
    <w:rsid w:val="00E90E86"/>
    <w:rsid w:val="00E92628"/>
    <w:rsid w:val="00E93204"/>
    <w:rsid w:val="00E93D6D"/>
    <w:rsid w:val="00EA5A81"/>
    <w:rsid w:val="00EA7546"/>
    <w:rsid w:val="00ED03E7"/>
    <w:rsid w:val="00ED0855"/>
    <w:rsid w:val="00ED1A69"/>
    <w:rsid w:val="00ED75F3"/>
    <w:rsid w:val="00EF1FD3"/>
    <w:rsid w:val="00F012A4"/>
    <w:rsid w:val="00F0404E"/>
    <w:rsid w:val="00F06109"/>
    <w:rsid w:val="00F23777"/>
    <w:rsid w:val="00F24D1A"/>
    <w:rsid w:val="00F25ED3"/>
    <w:rsid w:val="00F27E3E"/>
    <w:rsid w:val="00F3791E"/>
    <w:rsid w:val="00F50846"/>
    <w:rsid w:val="00F5309C"/>
    <w:rsid w:val="00F63F52"/>
    <w:rsid w:val="00F67109"/>
    <w:rsid w:val="00F7735F"/>
    <w:rsid w:val="00F77B6C"/>
    <w:rsid w:val="00F804F5"/>
    <w:rsid w:val="00F94FE6"/>
    <w:rsid w:val="00FA706D"/>
    <w:rsid w:val="00FB1F99"/>
    <w:rsid w:val="00FC591C"/>
    <w:rsid w:val="00FD7F8A"/>
    <w:rsid w:val="00FE2968"/>
    <w:rsid w:val="00FE4E44"/>
    <w:rsid w:val="00FE537A"/>
    <w:rsid w:val="00FE60DB"/>
    <w:rsid w:val="00FF57FE"/>
    <w:rsid w:val="00FF596D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83DDF8-9B27-4E61-A14A-A164AF95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5C719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C71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5C719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C719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7198"/>
    <w:rPr>
      <w:rFonts w:ascii="Segoe UI" w:hAnsi="Segoe UI" w:cs="Segoe UI"/>
      <w:sz w:val="18"/>
      <w:szCs w:val="18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2E3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a">
    <w:name w:val="line number"/>
    <w:uiPriority w:val="99"/>
    <w:semiHidden/>
    <w:unhideWhenUsed/>
    <w:rsid w:val="006C08EE"/>
  </w:style>
  <w:style w:type="character" w:customStyle="1" w:styleId="highlightsearch">
    <w:name w:val="highlightsearch"/>
    <w:rsid w:val="00C6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4014163081E0E0D9FAEDB76D7387E6BA499E637AC20B58EEC4D8BB9yF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633A-CADD-420F-BB1A-5A5DDDD9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Links>
    <vt:vector size="6" baseType="variant">
      <vt:variant>
        <vt:i4>524294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consultantplus://offline/ref=6FB4014163081E0E0D9FAEDB76D7387E6BA499E637AC20B58EEC4D8BB9yFj0I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2024-09-24T11:20:00Z</cp:lastPrinted>
  <dcterms:created xsi:type="dcterms:W3CDTF">2024-09-25T06:10:00Z</dcterms:created>
  <dcterms:modified xsi:type="dcterms:W3CDTF">2024-09-25T06:10:00Z</dcterms:modified>
</cp:coreProperties>
</file>