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48" w:rsidRPr="00C77548" w:rsidRDefault="00C77548" w:rsidP="00C77548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548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548" w:rsidRPr="00C77548" w:rsidRDefault="00C77548" w:rsidP="00C77548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5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77548" w:rsidRPr="00C77548" w:rsidRDefault="00C77548" w:rsidP="00C77548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5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77548" w:rsidRPr="00C77548" w:rsidRDefault="00C77548" w:rsidP="00C77548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7754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77548" w:rsidRPr="00C77548" w:rsidRDefault="00C77548" w:rsidP="00C77548">
      <w:pPr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.09.2021                    </w:t>
      </w: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</w:t>
      </w: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№  94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C77548" w:rsidRPr="00C77548" w:rsidRDefault="00C77548" w:rsidP="00C77548">
      <w:pPr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54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C77548" w:rsidRPr="00C77548" w:rsidRDefault="00C77548" w:rsidP="00C7754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119" w:rsidRPr="00601119" w:rsidRDefault="00601119" w:rsidP="00601119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119" w:rsidRPr="00601119" w:rsidRDefault="00601119" w:rsidP="00601119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19">
        <w:rPr>
          <w:rFonts w:ascii="Times New Roman" w:hAnsi="Times New Roman" w:cs="Times New Roman"/>
          <w:b/>
          <w:bCs/>
          <w:sz w:val="28"/>
          <w:szCs w:val="28"/>
        </w:rPr>
        <w:t>Об утверждении основных направлений бюджетной и налоговой</w:t>
      </w:r>
    </w:p>
    <w:p w:rsidR="00601119" w:rsidRPr="00601119" w:rsidRDefault="00601119" w:rsidP="0060111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bCs/>
          <w:sz w:val="28"/>
          <w:szCs w:val="28"/>
        </w:rPr>
        <w:t xml:space="preserve">политики </w:t>
      </w:r>
      <w:r w:rsidRPr="00601119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:rsidR="00601119" w:rsidRPr="00601119" w:rsidRDefault="00601119" w:rsidP="00601119">
      <w:pPr>
        <w:widowControl w:val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1119">
        <w:rPr>
          <w:rFonts w:ascii="Times New Roman" w:hAnsi="Times New Roman" w:cs="Times New Roman"/>
          <w:b/>
          <w:sz w:val="28"/>
          <w:szCs w:val="28"/>
        </w:rPr>
        <w:t xml:space="preserve">района на </w:t>
      </w:r>
      <w:r w:rsidRPr="006011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2022 год и на плановый период 2023 и 2024 годов</w:t>
      </w:r>
    </w:p>
    <w:p w:rsidR="00601119" w:rsidRPr="00601119" w:rsidRDefault="00601119" w:rsidP="00601119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1119" w:rsidRPr="00601119" w:rsidRDefault="00601119" w:rsidP="00601119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1119" w:rsidRPr="00601119" w:rsidRDefault="00601119" w:rsidP="0060111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В соответствии со статьей 172 Бюджетного кодекса Российской Федерации, Положением о бюджетном процессе в Кореновском городском поселении Кореновского района, утвержденным решением Совета Кореновского городского поселения Кореновского района от 30 октября 2019 года № 17-3/4, 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>в целях подготовки проекта решения Совета Кореновского городского поселения Кореновского района о бюджете на 2022 год и плановый период 2023 и                           2024 годов,</w:t>
      </w:r>
      <w:r w:rsidRPr="00601119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                   Кореновского района  п о с т а н о в л я е т:</w:t>
      </w:r>
    </w:p>
    <w:p w:rsidR="00601119" w:rsidRPr="00601119" w:rsidRDefault="00601119" w:rsidP="0060111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1. Утвердить</w:t>
      </w:r>
      <w:r w:rsidRPr="00601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9">
        <w:rPr>
          <w:rFonts w:ascii="Times New Roman" w:hAnsi="Times New Roman" w:cs="Times New Roman"/>
          <w:bCs/>
          <w:sz w:val="28"/>
          <w:szCs w:val="28"/>
        </w:rPr>
        <w:t xml:space="preserve">основные направления бюджетной и налоговой                    политики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на                    2022 год и плановый период 2023 и 2024 годов (прилагается).</w:t>
      </w:r>
    </w:p>
    <w:p w:rsidR="00601119" w:rsidRPr="00601119" w:rsidRDefault="00601119" w:rsidP="00601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2E0A96" w:rsidRPr="002E0A96" w:rsidRDefault="002E0A96" w:rsidP="002E0A9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A96">
        <w:rPr>
          <w:rFonts w:ascii="Times New Roman" w:eastAsia="Calibri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2E0A96" w:rsidRPr="002E0A96" w:rsidRDefault="002E0A96" w:rsidP="002E0A9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A96">
        <w:rPr>
          <w:rFonts w:ascii="Times New Roman" w:eastAsia="Calibri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2E0A96" w:rsidRPr="002E0A96" w:rsidRDefault="002E0A96" w:rsidP="002E0A96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0A96" w:rsidRPr="002E0A96" w:rsidRDefault="002E0A96" w:rsidP="002E0A96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0A96" w:rsidRPr="002E0A96" w:rsidRDefault="002E0A96" w:rsidP="002E0A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96" w:rsidRPr="002E0A96" w:rsidRDefault="002E0A96" w:rsidP="002E0A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2E0A96" w:rsidRPr="002E0A96" w:rsidRDefault="002E0A96" w:rsidP="002E0A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2E0A96" w:rsidRPr="002E0A96" w:rsidRDefault="002E0A96" w:rsidP="002E0A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Т.В. Супрунова</w:t>
      </w:r>
    </w:p>
    <w:p w:rsidR="002E0A96" w:rsidRPr="002E0A96" w:rsidRDefault="002E0A96" w:rsidP="002E0A96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119" w:rsidRPr="00601119" w:rsidRDefault="00601119" w:rsidP="0060111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1119" w:rsidRDefault="00601119" w:rsidP="0060111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A96" w:rsidRPr="00601119" w:rsidRDefault="002E0A96" w:rsidP="0060111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01119" w:rsidRPr="00601119" w:rsidRDefault="00601119" w:rsidP="0060111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697923" w:rsidRPr="00601119" w:rsidTr="00421BFD">
        <w:tc>
          <w:tcPr>
            <w:tcW w:w="4536" w:type="dxa"/>
          </w:tcPr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3185">
              <w:rPr>
                <w:rFonts w:ascii="Times New Roman" w:hAnsi="Times New Roman" w:cs="Times New Roman"/>
                <w:sz w:val="28"/>
                <w:szCs w:val="28"/>
              </w:rPr>
              <w:t>16.09.2021 № 945</w:t>
            </w:r>
          </w:p>
          <w:p w:rsidR="00697923" w:rsidRPr="00601119" w:rsidRDefault="00697923" w:rsidP="00421B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  <w:r w:rsidRPr="00601119">
        <w:rPr>
          <w:rFonts w:ascii="Times New Roman" w:hAnsi="Times New Roman" w:cs="Times New Roman"/>
          <w:b/>
          <w:sz w:val="28"/>
          <w:szCs w:val="28"/>
        </w:rPr>
        <w:t xml:space="preserve"> бюджетной и налоговой политики</w:t>
      </w: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sz w:val="28"/>
          <w:szCs w:val="28"/>
        </w:rPr>
        <w:t>на 2022 год и плановый период 2023 и 2024 годов</w:t>
      </w: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Кореновского городского поселения Кореновского района на 2022 год и плановый период                 2023 и 2024 годов подготовлены в соответствии со статьями 172, 184.2 Бюджетного кодекса Российской Федерации и в целях составления проекта бюджета Кореновского городского поселения Кореновского района на 2022 год и плановый период 2023 и 2024 годов.</w:t>
      </w:r>
      <w:r w:rsidRPr="00601119">
        <w:rPr>
          <w:sz w:val="28"/>
          <w:szCs w:val="28"/>
        </w:rPr>
        <w:t xml:space="preserve"> 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В основу основных направлений положены стратегические цели развития, сформулированные в соответствии с основными положениями Послания Президента Российской Федерации Федеральному Собранию Российской Федерации от 21 апреля 2021 года.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7923" w:rsidRPr="00601119" w:rsidRDefault="00697923" w:rsidP="00697923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119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2. </w:t>
      </w:r>
      <w:r w:rsidRPr="0060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бюджетной политики</w:t>
      </w:r>
    </w:p>
    <w:p w:rsidR="00697923" w:rsidRPr="00601119" w:rsidRDefault="00697923" w:rsidP="00697923">
      <w:pPr>
        <w:keepNext/>
        <w:tabs>
          <w:tab w:val="left" w:pos="0"/>
        </w:tabs>
        <w:jc w:val="center"/>
        <w:outlineLvl w:val="1"/>
        <w:rPr>
          <w:rFonts w:ascii="Times New Roman" w:hAnsi="Times New Roman" w:cs="Times New Roman"/>
          <w:bCs/>
          <w:iCs/>
          <w:noProof/>
          <w:sz w:val="28"/>
          <w:szCs w:val="28"/>
          <w:u w:val="single"/>
        </w:rPr>
      </w:pP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направления бюджетной политики </w:t>
      </w:r>
      <w:r w:rsidRPr="00601119">
        <w:rPr>
          <w:rFonts w:ascii="Times New Roman" w:hAnsi="Times New Roman" w:cs="Times New Roman"/>
          <w:sz w:val="28"/>
          <w:szCs w:val="28"/>
        </w:rPr>
        <w:t>на 2022 год и плановый период 2023 и 2024 годов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основой для формирования местного бюджета </w:t>
      </w:r>
      <w:r w:rsidRPr="00601119">
        <w:rPr>
          <w:rFonts w:ascii="Times New Roman" w:hAnsi="Times New Roman" w:cs="Times New Roman"/>
          <w:sz w:val="28"/>
          <w:szCs w:val="28"/>
        </w:rPr>
        <w:t>на 2022 год и плановый период 2023 и 2024 годов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определяют основные подходы к формированию бюджета, общий порядок разработки основных характеристик и прогнозируемых параметров местного бюджета, а также обеспечивают прозрачность и открытость бюджетного планирования.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приоритетах бюджетной политики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 обеспечение стабильности местного бюджета, формирующей условия для устойчивого экономического роста, мобилизация внутренних источников, более четкая увязка бюджетных расходов и повышение их влияния на достижение установленных целей государственной политики.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Основными рисками, которые могут возникнуть в ходе реализации бюджетной политики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изменение норм федерального и краевого законодательства, влекущие за собой снижение доходов и (или) увеличение расходов бюджета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ухудшение общеэкономической ситуации в Краснодарском крае и в </w:t>
      </w:r>
      <w:r w:rsidRPr="00601119">
        <w:rPr>
          <w:rFonts w:ascii="Times New Roman" w:hAnsi="Times New Roman" w:cs="Times New Roman"/>
          <w:sz w:val="28"/>
          <w:szCs w:val="28"/>
        </w:rPr>
        <w:t>Кореновском городском поселении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приводящее к уменьшению поступлений налоговых и неналоговых доходов бюджета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7923" w:rsidRPr="00601119" w:rsidRDefault="00697923" w:rsidP="006979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119">
        <w:rPr>
          <w:sz w:val="28"/>
          <w:szCs w:val="28"/>
        </w:rPr>
        <w:t>- удорожание стоимости привлечения заемных средств в виде кредитов коммерческих банков.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наступлении указанных рисков могут потребоваться дополнительные меры по минимизации их негативных последствий.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923" w:rsidRPr="00601119" w:rsidRDefault="00697923" w:rsidP="00697923">
      <w:pPr>
        <w:keepNext/>
        <w:tabs>
          <w:tab w:val="left" w:pos="0"/>
        </w:tabs>
        <w:jc w:val="center"/>
        <w:outlineLvl w:val="1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601119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3. Цели и задачи бюджетной и налоговой политики </w:t>
      </w: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Pr="00601119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бюджетной и налоговой </w:t>
      </w:r>
      <w:r w:rsidRPr="00601119">
        <w:rPr>
          <w:rFonts w:ascii="Times New Roman" w:hAnsi="Times New Roman" w:cs="Times New Roman"/>
          <w:sz w:val="28"/>
          <w:szCs w:val="28"/>
        </w:rPr>
        <w:t xml:space="preserve">политики являются обеспечение мер, направленных на устойчивое социально-экономическое развитие поселения в целях обеспечения реализации приоритетных задач. </w:t>
      </w:r>
    </w:p>
    <w:p w:rsidR="00697923" w:rsidRPr="00601119" w:rsidRDefault="00697923" w:rsidP="006979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Основными целями налоговой политики являются:</w:t>
      </w:r>
    </w:p>
    <w:p w:rsidR="00697923" w:rsidRPr="00601119" w:rsidRDefault="00697923" w:rsidP="006979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увеличение налоговой базы и оптимизация налоговых льгот;</w:t>
      </w:r>
    </w:p>
    <w:p w:rsidR="00697923" w:rsidRPr="00601119" w:rsidRDefault="00697923" w:rsidP="006979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повышение собираемости налогов и снижения уровня недоимки;</w:t>
      </w:r>
    </w:p>
    <w:p w:rsidR="00697923" w:rsidRPr="00601119" w:rsidRDefault="00697923" w:rsidP="006979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проведение информационной кампании по информированию граждан о сроках уплаты имущественных налогах;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Бюджетные и налоговые приоритеты поселения будут направлены на решение общегосударственных задач, достижение стратегических целей, сформулированных в Посланиях Президента.</w:t>
      </w:r>
    </w:p>
    <w:p w:rsidR="00697923" w:rsidRPr="00601119" w:rsidRDefault="00697923" w:rsidP="006979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Основными задачами бюджетной и налоговой политики являются: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обеспечение мер, направленных на устойчивое социально–экономическое развитие поселения; 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концентрация финансовых ресурсов для последовательного формирования условий по улучшению качества жизни населения;</w:t>
      </w:r>
    </w:p>
    <w:p w:rsidR="00697923" w:rsidRPr="00601119" w:rsidRDefault="00697923" w:rsidP="006979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совершенствование механизмов муниципальных закупок за счет применения современных процедур размещения заказов;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повышение эффективности управления общественными                                  (муниципальными) финансами.</w:t>
      </w:r>
    </w:p>
    <w:p w:rsidR="00697923" w:rsidRPr="00601119" w:rsidRDefault="00697923" w:rsidP="0069792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увеличение налогового потенциала поселения посредством поддержка инвестиционной активности хозяйствующих субъектов, повышение эффективности использования объектов муниципальной собственности;</w:t>
      </w:r>
    </w:p>
    <w:p w:rsidR="00697923" w:rsidRPr="00601119" w:rsidRDefault="00697923" w:rsidP="0069792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обеспечение условий для полного и стабильного поступления в бюджет Кореновского городского поселения Кореновского района налогов и сборов и иных обязательных платежей.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Исходя из приоритетов налоговой политики, главному администратору доходов местного бюджета необходимо направить усилия на решение следующих задач: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обеспечение уровня доходов местного бюджета, достаточного для гарантированного и качественного выполнения задач и функций местного самоуправления;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повышение эффективности использования муниципального имущества.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sz w:val="28"/>
          <w:szCs w:val="28"/>
        </w:rPr>
        <w:t xml:space="preserve">4. Обеспечение сбалансированности, устойчивости бюджета. </w:t>
      </w: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sz w:val="28"/>
          <w:szCs w:val="28"/>
        </w:rPr>
        <w:t>Оптимизация расходов бюджета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ограниченности бюджетных ресурсов бюджетную политику планируется направить на обеспечение сбалансированности местного бюджета и повышение эффективности управления муниципальными финансами.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>При обязательном выполнении действующих расходных обязательств, развитии условий для дальнейшего социально-экономического роста должна быть гарантированно обеспечена долгосрочная устойчивость, сбалансированность местных бюджетов.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ab/>
        <w:t>Решение этой задачи потребует напряженной работы над источниками доходов, над обеспечением роста налогооблагаемой базы. Одновременно поддержание расходов на уровне, достаточном для финансового обеспечения задач и функций местного самоуправления, должно быть подкреплено выявлением резервов, оптимизацией расходов, обязательным повышением качества использования имеющих средств.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Необходимо применение механизма ограничения роста </w:t>
      </w:r>
      <w:proofErr w:type="spellStart"/>
      <w:r w:rsidRPr="00601119">
        <w:rPr>
          <w:rFonts w:ascii="Times New Roman" w:hAnsi="Times New Roman" w:cs="Times New Roman"/>
          <w:sz w:val="28"/>
          <w:szCs w:val="28"/>
        </w:rPr>
        <w:t>непервоочередных</w:t>
      </w:r>
      <w:proofErr w:type="spellEnd"/>
      <w:r w:rsidRPr="00601119">
        <w:rPr>
          <w:rFonts w:ascii="Times New Roman" w:hAnsi="Times New Roman" w:cs="Times New Roman"/>
          <w:sz w:val="28"/>
          <w:szCs w:val="28"/>
        </w:rPr>
        <w:t xml:space="preserve"> расходов и перераспределения ресурсов в пользу приоритетных направлений и проектов. </w:t>
      </w:r>
    </w:p>
    <w:p w:rsidR="00697923" w:rsidRPr="00601119" w:rsidRDefault="00697923" w:rsidP="0069792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 бюджета Кореновского городского поселения Кореновского района напрямую зависит от качества и эффективности планирования и осуществления расходов местного бюджета.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Кроме оптимизации расходов, большее значение в реализации бюджетной политики в части сохранения стабильности и долгосрочной устойчивости местного бюджета должно отводиться повышению качества бюджетного планирования.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В основе бюджетного планирования в предстоящие годы должны быть положены реалистичность и осторожность экономических прогнозов и предпосылок, систематический анализ рисков, в том числе оценка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средне- и долгосрочных последствий принятия новых расходных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1119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формировании расходов городского бюджета на 2022 год и плановый период 2023 и 2024 годов следует особое внимание уделить сохранению социальных приоритетов, предусмотрев большую часть средств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муниципальных заданий по предоставлению населению на территории муниципального образования в сфере культуры и массового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спорта.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2022 - 2024 годах в Кореновском городском поселении Кореновского района продолжает оставаться актуальной задача обеспечения 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сбалансированности, стабильного исполнения бюджета, которая предусматривает осуществление следующих мероприятий: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использование бюджетных ограничений при планировании бюджетных расходов на уровне отчетного (текущего) года;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соблюдение режима жесткой экономии бюджетных средств путем определения приоритетов и целей использования бюджетных средств, исключив необязательные в текущей ситуации затраты;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непринятие новых расходных обязательств, а в случае необходимости принятия - только при условии сокращения ранее принятых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обязательств;</w:t>
      </w:r>
    </w:p>
    <w:p w:rsidR="00697923" w:rsidRPr="00601119" w:rsidRDefault="00697923" w:rsidP="0069792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введение режима экономии электро- и </w:t>
      </w:r>
      <w:proofErr w:type="spellStart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теплоэнергии</w:t>
      </w:r>
      <w:proofErr w:type="spellEnd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расходных материалов, горюче-смазочных материалов, услуг связи; недопущение роста расходов на оплату коммунальных услуг за счет оптимизации их потребления и повышения </w:t>
      </w:r>
      <w:proofErr w:type="spellStart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особенно актуально в условиях недостаточности финансовых ресурсов.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Долговая политика Кореновского городского поселения в 2022 году и плановом периоде 2023-2024 годов будет ориентирована: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на обеспечение сбалансированного исполнения местного бюджета;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на безусловное исполнение обязательств по погашению и обслуживанию долга в установленные сроки и в полном объеме.</w:t>
      </w:r>
    </w:p>
    <w:p w:rsidR="00697923" w:rsidRPr="00601119" w:rsidRDefault="00697923" w:rsidP="006979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b/>
          <w:sz w:val="28"/>
          <w:szCs w:val="28"/>
        </w:rPr>
        <w:t>5. Повышение эффективности бюджетных расходов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В числе главных целей, стоящих перед органами местного самоуправления, повышение эффективности бюджетных расходов, в том числе через: 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повышение эффективности оказания муниципальных услуг (выполнения работ); 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повышение эффективности бюджетных инвестиций;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совершенствование контрактных отношений;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повышение эффективности межбюджетных трансфертов.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Среди комплекса этих взаимосвязанных целей необходимо обозначить задачи, требующие особого внимания и приложения сил в среднесрочном периоде, в том числе: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реализация мер, направленных на оптимизацию соотношения гарантированной части заработной платы и стимулирующих надбавок работникам муниципальных бюджетных учреждений;</w:t>
      </w:r>
    </w:p>
    <w:p w:rsidR="00697923" w:rsidRPr="00601119" w:rsidRDefault="00697923" w:rsidP="0069792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оптимизация муниципальных закупок бюджетными учреждениями, контроль за обоснованностью закупок, начальных цен, соответствие товаров (работ, услуг) контракту, их учету и использованию;</w:t>
      </w:r>
    </w:p>
    <w:p w:rsidR="00697923" w:rsidRPr="00601119" w:rsidRDefault="00697923" w:rsidP="00697923">
      <w:pPr>
        <w:tabs>
          <w:tab w:val="left" w:pos="0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Главный администратор (администратор) доходов, главный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 распорядитель (распорядитель) бюджетных средств, иным участникам бюджетного процесса требуется обеспечить реализацию Основных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направлений, приложить максимальные усилия для укрепления доходной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1119">
        <w:rPr>
          <w:rFonts w:ascii="Times New Roman" w:hAnsi="Times New Roman" w:cs="Times New Roman"/>
          <w:sz w:val="28"/>
          <w:szCs w:val="28"/>
        </w:rPr>
        <w:lastRenderedPageBreak/>
        <w:t xml:space="preserve">части бюджета, обеспечения приоритетов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1119">
        <w:rPr>
          <w:rFonts w:ascii="Times New Roman" w:hAnsi="Times New Roman" w:cs="Times New Roman"/>
          <w:sz w:val="28"/>
          <w:szCs w:val="28"/>
        </w:rPr>
        <w:t>развития поселения, сбалансированности бюджета, эффективного, адресного и целевого характера использования бюджетных средств, прозрачности   (открытости) бюджета, безусловного соблюдения других принципов бюджетной системы Российской Федерации.</w:t>
      </w:r>
    </w:p>
    <w:p w:rsidR="00697923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финансово-экономического отдела</w:t>
      </w:r>
    </w:p>
    <w:p w:rsidR="00697923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городского поселения     </w:t>
      </w: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Ю.А. </w:t>
      </w:r>
      <w:proofErr w:type="spellStart"/>
      <w:r w:rsidRPr="00601119"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Pr="00601119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97923" w:rsidRDefault="00697923" w:rsidP="0069792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 w:cs="Times New Roman"/>
          <w:sz w:val="24"/>
          <w:szCs w:val="20"/>
          <w:shd w:val="clear" w:color="auto" w:fill="FFFFFF"/>
          <w:lang w:eastAsia="ru-RU"/>
        </w:rPr>
      </w:pPr>
    </w:p>
    <w:p w:rsidR="00606496" w:rsidRPr="00601119" w:rsidRDefault="00606496" w:rsidP="00906AF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6496" w:rsidRPr="00601119" w:rsidSect="00B013E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8A" w:rsidRDefault="00A0398A" w:rsidP="00B013ED">
      <w:r>
        <w:separator/>
      </w:r>
    </w:p>
  </w:endnote>
  <w:endnote w:type="continuationSeparator" w:id="0">
    <w:p w:rsidR="00A0398A" w:rsidRDefault="00A0398A" w:rsidP="00B0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8A" w:rsidRDefault="00A0398A" w:rsidP="00B013ED">
      <w:r>
        <w:separator/>
      </w:r>
    </w:p>
  </w:footnote>
  <w:footnote w:type="continuationSeparator" w:id="0">
    <w:p w:rsidR="00A0398A" w:rsidRDefault="00A0398A" w:rsidP="00B0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490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013ED" w:rsidRPr="00BE3185" w:rsidRDefault="00B013ED" w:rsidP="00B013ED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BE318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E318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E318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2613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BE318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4B"/>
    <w:rsid w:val="000E5305"/>
    <w:rsid w:val="001F026E"/>
    <w:rsid w:val="002142CD"/>
    <w:rsid w:val="002152D1"/>
    <w:rsid w:val="00222E04"/>
    <w:rsid w:val="00262E06"/>
    <w:rsid w:val="0027181E"/>
    <w:rsid w:val="002C76B5"/>
    <w:rsid w:val="002E0A96"/>
    <w:rsid w:val="0032405F"/>
    <w:rsid w:val="00394DA3"/>
    <w:rsid w:val="003E3AE0"/>
    <w:rsid w:val="004802AC"/>
    <w:rsid w:val="004D4398"/>
    <w:rsid w:val="005621E0"/>
    <w:rsid w:val="00581A45"/>
    <w:rsid w:val="005F608E"/>
    <w:rsid w:val="00601119"/>
    <w:rsid w:val="00606496"/>
    <w:rsid w:val="0062533B"/>
    <w:rsid w:val="00653F01"/>
    <w:rsid w:val="00673BC0"/>
    <w:rsid w:val="00687C28"/>
    <w:rsid w:val="00697923"/>
    <w:rsid w:val="006A3575"/>
    <w:rsid w:val="0073291B"/>
    <w:rsid w:val="0074514B"/>
    <w:rsid w:val="0080670F"/>
    <w:rsid w:val="00826135"/>
    <w:rsid w:val="00852304"/>
    <w:rsid w:val="00900145"/>
    <w:rsid w:val="00906AF8"/>
    <w:rsid w:val="0094344A"/>
    <w:rsid w:val="009A0829"/>
    <w:rsid w:val="009D1C9A"/>
    <w:rsid w:val="009F48E0"/>
    <w:rsid w:val="009F6E6B"/>
    <w:rsid w:val="00A00EAE"/>
    <w:rsid w:val="00A0398A"/>
    <w:rsid w:val="00A03C7A"/>
    <w:rsid w:val="00A96068"/>
    <w:rsid w:val="00B013ED"/>
    <w:rsid w:val="00B1741F"/>
    <w:rsid w:val="00B62074"/>
    <w:rsid w:val="00B66439"/>
    <w:rsid w:val="00B73F84"/>
    <w:rsid w:val="00BB06C4"/>
    <w:rsid w:val="00BB6DCF"/>
    <w:rsid w:val="00BC70BA"/>
    <w:rsid w:val="00BD2D89"/>
    <w:rsid w:val="00BE3185"/>
    <w:rsid w:val="00C77548"/>
    <w:rsid w:val="00C83F66"/>
    <w:rsid w:val="00CE35F7"/>
    <w:rsid w:val="00D3016F"/>
    <w:rsid w:val="00DD3CCE"/>
    <w:rsid w:val="00E25E77"/>
    <w:rsid w:val="00E533A2"/>
    <w:rsid w:val="00E81130"/>
    <w:rsid w:val="00ED71CF"/>
    <w:rsid w:val="00F0003B"/>
    <w:rsid w:val="00F526E0"/>
    <w:rsid w:val="00F7046C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3B98B-2394-448E-AD01-1FB7CDA9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C7A"/>
  </w:style>
  <w:style w:type="paragraph" w:styleId="1">
    <w:name w:val="heading 1"/>
    <w:basedOn w:val="a"/>
    <w:link w:val="10"/>
    <w:uiPriority w:val="9"/>
    <w:qFormat/>
    <w:rsid w:val="00BD2D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03C7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3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13ED"/>
  </w:style>
  <w:style w:type="paragraph" w:styleId="a8">
    <w:name w:val="footer"/>
    <w:basedOn w:val="a"/>
    <w:link w:val="a9"/>
    <w:uiPriority w:val="99"/>
    <w:unhideWhenUsed/>
    <w:rsid w:val="00B01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6E9E-77EB-4A92-9D5E-649908D4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25</cp:revision>
  <cp:lastPrinted>2021-09-21T14:08:00Z</cp:lastPrinted>
  <dcterms:created xsi:type="dcterms:W3CDTF">2019-10-07T06:03:00Z</dcterms:created>
  <dcterms:modified xsi:type="dcterms:W3CDTF">2021-09-21T14:09:00Z</dcterms:modified>
</cp:coreProperties>
</file>