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D64487">
        <w:rPr>
          <w:rFonts w:ascii="Courier New" w:eastAsia="Times New Roman" w:hAnsi="Courier New" w:cs="Courier New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1A88CA90" wp14:editId="0CCFBC99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D6448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АДМИНИСТРАЦИЯ КОРЕНОВСКОГО ГОРОДСКОГО ПОСЕЛЕНИЯ</w:t>
      </w:r>
    </w:p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D6448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КОРЕНОВСКОГО РАЙОНА</w:t>
      </w:r>
    </w:p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</w:pPr>
      <w:r w:rsidRPr="00D64487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  <w:t>ПОСТАНОВЛЕНИЕ</w:t>
      </w:r>
    </w:p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от 09.02.2021   </w:t>
      </w: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                                                </w:t>
      </w: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proofErr w:type="gramStart"/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№</w:t>
      </w:r>
      <w:proofErr w:type="gramEnd"/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1</w:t>
      </w:r>
    </w:p>
    <w:p w:rsidR="00D64487" w:rsidRPr="00D64487" w:rsidRDefault="00D64487" w:rsidP="00D6448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ru-RU" w:eastAsia="ru-RU"/>
        </w:rPr>
      </w:pPr>
      <w:r w:rsidRPr="00D644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г. Кореновск</w:t>
      </w:r>
    </w:p>
    <w:p w:rsidR="00D64487" w:rsidRPr="00D64487" w:rsidRDefault="00D64487" w:rsidP="00D644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C664F" w:rsidRPr="003C664F" w:rsidRDefault="003C664F" w:rsidP="006F79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A66F5" w:rsidRDefault="00C96E59" w:rsidP="00BC45B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внесении изменения в постановление администрации </w:t>
      </w:r>
    </w:p>
    <w:p w:rsidR="006A66F5" w:rsidRDefault="00C96E59" w:rsidP="00BC45B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Кореновского городского поселения Кореновского района </w:t>
      </w:r>
    </w:p>
    <w:p w:rsidR="006A66F5" w:rsidRDefault="00C96E59" w:rsidP="00BC45B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 16 декабря 2019 года № 1263 «</w:t>
      </w:r>
      <w:r w:rsidR="004809F6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78730A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Перечня</w:t>
      </w:r>
    </w:p>
    <w:p w:rsidR="006A66F5" w:rsidRDefault="004809F6" w:rsidP="00BC45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показателей эффективности</w:t>
      </w:r>
      <w:r w:rsidR="009B79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деятельности </w:t>
      </w:r>
      <w:r w:rsidR="000F469E" w:rsidRPr="000F46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</w:t>
      </w:r>
    </w:p>
    <w:p w:rsidR="009B799E" w:rsidRDefault="000F469E" w:rsidP="00BC45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бюджетного учреждения</w:t>
      </w:r>
      <w:r w:rsidR="009B79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Кореновского городского поселения </w:t>
      </w:r>
    </w:p>
    <w:p w:rsidR="006A66F5" w:rsidRDefault="000F469E" w:rsidP="00BC45B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района</w:t>
      </w:r>
      <w:r w:rsidR="009B79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«Городской спортивно-досуговый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ентр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809F6" w:rsidRPr="000F469E" w:rsidRDefault="009B799E" w:rsidP="00BC45B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</w:t>
      </w:r>
      <w:r w:rsidR="004809F6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критериев оценки эффективности и результативности работы руководителя для установления стимулирующих выплат</w:t>
      </w:r>
      <w:r w:rsidR="006A66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E33A32" w:rsidRDefault="00E33A32" w:rsidP="004E5E7C">
      <w:pPr>
        <w:tabs>
          <w:tab w:val="left" w:pos="8505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6F5" w:rsidRDefault="006A66F5" w:rsidP="004E5E7C">
      <w:pPr>
        <w:tabs>
          <w:tab w:val="left" w:pos="8505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4829" w:rsidRPr="004E5E7C" w:rsidRDefault="00DB4829" w:rsidP="00DB4829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81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со статьей 145 Трудового кодекса Российской Федерации, постановлением администрации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от 16 мая 2017 года № 960 «Об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района» (с изменениями от 25 января 2019 года                             № 53, от 28 августа 2019 года № 872, от 4 февраля 2020 года № 118</w:t>
      </w:r>
      <w:r w:rsidR="009B799E">
        <w:rPr>
          <w:rFonts w:ascii="Times New Roman" w:hAnsi="Times New Roman" w:cs="Times New Roman"/>
          <w:sz w:val="28"/>
          <w:szCs w:val="28"/>
          <w:lang w:val="ru-RU"/>
        </w:rPr>
        <w:t>, от                 5 октября 2020 года № 800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в целях повышения мотивации качественного труда руководителя муниципального бюджетного учреждения Кореновского городского поселения Кореновского района </w:t>
      </w:r>
      <w:r w:rsidRPr="002C5028">
        <w:rPr>
          <w:rFonts w:ascii="Times New Roman" w:hAnsi="Times New Roman" w:cs="Times New Roman"/>
          <w:sz w:val="28"/>
          <w:szCs w:val="28"/>
          <w:lang w:val="ru-RU"/>
        </w:rPr>
        <w:t>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поощрения за результаты труда,</w:t>
      </w:r>
      <w:r w:rsidRPr="002C50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Кореновск</w:t>
      </w:r>
      <w:r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ого городского поселения Кореновского района постановляет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86ED5" w:rsidRDefault="00F86ED5" w:rsidP="00E33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A5B46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</w:t>
      </w:r>
      <w:r w:rsid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A5B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постановление администрации </w:t>
      </w:r>
      <w:r w:rsidR="000A5B46" w:rsidRPr="002C5028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</w:t>
      </w:r>
      <w:r w:rsidR="000A5B46"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ого городского поселения Кореновского района</w:t>
      </w:r>
      <w:r w:rsidR="000A5B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16 декабря 2019 года № 1263 «Об утверждении 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>Переч</w:t>
      </w:r>
      <w:r w:rsidR="000A5B46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r w:rsid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="000F469E" w:rsidRPr="000F469E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Кореновского городского поселения Кореновского района «Городской спортивно-досуговый</w:t>
      </w:r>
      <w:r w:rsidR="009B7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69E" w:rsidRPr="000F469E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0F46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и критери</w:t>
      </w:r>
      <w:r w:rsidR="000A5B46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оценки </w:t>
      </w:r>
      <w:r w:rsidR="004809F6"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эффективности и результативности работы руководителя для установления стимулирующих выплат</w:t>
      </w:r>
      <w:r w:rsidR="000A5B4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 изменение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0A5B46" w:rsidRDefault="000A5B46" w:rsidP="00E33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1.1. Приложение к постановлению изложить в новой редакции (прилагается).</w:t>
      </w:r>
    </w:p>
    <w:p w:rsidR="009B799E" w:rsidRPr="00676220" w:rsidRDefault="009B799E" w:rsidP="00676220">
      <w:pPr>
        <w:spacing w:after="0" w:line="240" w:lineRule="auto"/>
        <w:ind w:firstLine="851"/>
        <w:jc w:val="both"/>
        <w:rPr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</w:t>
      </w:r>
      <w:r w:rsidR="0067622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76220" w:rsidRPr="00676220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Признать утратившим силу</w:t>
      </w:r>
      <w:r w:rsidR="0067622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7622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остановление администрации Кореновского городского поселения Кореновского района от 5 октября </w:t>
      </w:r>
      <w:r w:rsidR="0067622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2020 года № 1006 «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внесении изменения в постановление администрации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Кореновского городского поселения Кореновского района от 16 декабря </w:t>
      </w:r>
      <w:r w:rsidR="006762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>2019 года № 1263 «Об утверждении Перечня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показателей эффективности деятельности </w:t>
      </w:r>
      <w:r w:rsidRPr="009B799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hAnsi="Times New Roman" w:cs="Times New Roman"/>
          <w:sz w:val="28"/>
          <w:szCs w:val="28"/>
          <w:lang w:val="ru-RU"/>
        </w:rPr>
        <w:t>бюджетного учреждения Кореновского городского поселения Кореновского района 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99E">
        <w:rPr>
          <w:rFonts w:ascii="Times New Roman" w:eastAsia="Times New Roman" w:hAnsi="Times New Roman" w:cs="Times New Roman"/>
          <w:sz w:val="28"/>
          <w:szCs w:val="28"/>
          <w:lang w:val="ru-RU"/>
        </w:rPr>
        <w:t>и критериев 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50A0F" w:rsidRPr="008F534A" w:rsidRDefault="009B799E" w:rsidP="0067622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8F534A" w:rsidRPr="00F86E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8F534A" w:rsidRPr="00F86ED5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Общему отделу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администрации</w:t>
      </w:r>
      <w:r w:rsidR="008F534A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района (Питиримова)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Кореновского городского поселения </w:t>
      </w:r>
      <w:r w:rsidR="00350A0F" w:rsidRPr="008F534A">
        <w:rPr>
          <w:rFonts w:ascii="Times New Roman" w:hAnsi="Times New Roman" w:cs="Times New Roman"/>
          <w:sz w:val="28"/>
          <w:szCs w:val="28"/>
          <w:lang w:val="ru-RU"/>
        </w:rPr>
        <w:t>Кореновского района в информационно-телекоммуникационной сети «Интернет».</w:t>
      </w:r>
    </w:p>
    <w:p w:rsidR="00E27466" w:rsidRPr="00A325CD" w:rsidRDefault="009B799E" w:rsidP="00E33A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1375" w:rsidRPr="008F534A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после</w:t>
      </w:r>
      <w:r w:rsidR="00E91375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</w:t>
      </w:r>
      <w:r w:rsidR="00FF559F">
        <w:rPr>
          <w:rFonts w:ascii="Times New Roman" w:hAnsi="Times New Roman" w:cs="Times New Roman"/>
          <w:sz w:val="28"/>
          <w:szCs w:val="28"/>
          <w:lang w:val="ru-RU"/>
        </w:rPr>
        <w:t xml:space="preserve"> и распространяется на правоотношения с 1 января 2021 года</w:t>
      </w:r>
      <w:r w:rsidR="000E1617" w:rsidRPr="00DB48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0A0F" w:rsidRDefault="00350A0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0A5B46" w:rsidRDefault="000A5B46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3C664F" w:rsidRDefault="003C664F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Глава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Кореновского городского поселения</w:t>
      </w:r>
    </w:p>
    <w:p w:rsidR="008E70C5" w:rsidRDefault="00F86ED5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Кореновского района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                          </w:t>
      </w:r>
      <w:r w:rsidR="003C664F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М.О. </w:t>
      </w:r>
      <w:proofErr w:type="spellStart"/>
      <w:r w:rsidR="003C664F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Шутылев</w:t>
      </w:r>
      <w:proofErr w:type="spellEnd"/>
    </w:p>
    <w:p w:rsidR="00350A0F" w:rsidRDefault="00350A0F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E0548" w:rsidRDefault="00FE0548" w:rsidP="00E74A0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 w:eastAsia="zh-CN"/>
        </w:rPr>
      </w:pPr>
    </w:p>
    <w:p w:rsidR="00BC45BA" w:rsidRPr="00BC45BA" w:rsidRDefault="00BC45BA" w:rsidP="00BC4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BC45BA" w:rsidRDefault="00BC45BA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3C664F" w:rsidRDefault="003C664F" w:rsidP="00BC45B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BC45BA" w:rsidRPr="003C664F" w:rsidRDefault="00BC45BA" w:rsidP="003C664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sectPr w:rsidR="00BC45BA" w:rsidRPr="003C664F" w:rsidSect="00C96E59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  <w:r w:rsidRPr="00C4415D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общего от Ко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0A5B46" w:rsidRPr="00D64487" w:rsidTr="000A5B46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0A5B46" w:rsidRPr="00DB4829" w:rsidRDefault="000A5B46" w:rsidP="000A15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0" w:type="dxa"/>
            <w:shd w:val="clear" w:color="auto" w:fill="auto"/>
          </w:tcPr>
          <w:p w:rsidR="000A5B46" w:rsidRDefault="000A5B46" w:rsidP="000A15BA">
            <w:pPr>
              <w:pStyle w:val="ab"/>
              <w:jc w:val="center"/>
            </w:pPr>
            <w:r>
              <w:t>ПРИЛОЖЕНИЕ</w:t>
            </w:r>
          </w:p>
          <w:p w:rsidR="000A5B46" w:rsidRDefault="000A5B46" w:rsidP="000A15BA">
            <w:pPr>
              <w:pStyle w:val="ab"/>
              <w:jc w:val="center"/>
            </w:pPr>
            <w:r>
              <w:t>к постановлению администрации</w:t>
            </w:r>
          </w:p>
          <w:p w:rsidR="000A5B46" w:rsidRDefault="000A5B46" w:rsidP="000A15BA">
            <w:pPr>
              <w:pStyle w:val="ab"/>
              <w:jc w:val="center"/>
            </w:pPr>
            <w:r>
              <w:t>Кореновского городского поселения</w:t>
            </w:r>
          </w:p>
          <w:p w:rsidR="000A5B46" w:rsidRDefault="000A5B46" w:rsidP="000A15BA">
            <w:pPr>
              <w:pStyle w:val="ab"/>
              <w:jc w:val="center"/>
            </w:pPr>
            <w:r>
              <w:t>Кореновского района</w:t>
            </w:r>
          </w:p>
          <w:p w:rsidR="000A5B46" w:rsidRDefault="000A5B46" w:rsidP="000A15BA">
            <w:pPr>
              <w:pStyle w:val="ab"/>
              <w:jc w:val="center"/>
            </w:pPr>
            <w:r>
              <w:t xml:space="preserve">от </w:t>
            </w:r>
            <w:r w:rsidR="00D64487">
              <w:t>09.02.2021</w:t>
            </w:r>
            <w:r w:rsidR="00190FAF">
              <w:t xml:space="preserve"> № </w:t>
            </w:r>
            <w:r w:rsidR="00D64487">
              <w:t>101</w:t>
            </w:r>
            <w:bookmarkStart w:id="0" w:name="_GoBack"/>
            <w:bookmarkEnd w:id="0"/>
          </w:p>
          <w:p w:rsidR="000A5B46" w:rsidRPr="00190FAF" w:rsidRDefault="000A5B46" w:rsidP="000A15B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A5B46" w:rsidRPr="001F179D" w:rsidTr="000A5B46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0A5B46" w:rsidRPr="00190FAF" w:rsidRDefault="000A5B46" w:rsidP="000A15B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0" w:type="dxa"/>
            <w:shd w:val="clear" w:color="auto" w:fill="auto"/>
          </w:tcPr>
          <w:p w:rsidR="000A5B46" w:rsidRDefault="000A5B46" w:rsidP="000A15BA">
            <w:pPr>
              <w:pStyle w:val="ab"/>
              <w:jc w:val="center"/>
            </w:pPr>
            <w:r>
              <w:t xml:space="preserve">«ПРИЛОЖЕНИЕ </w:t>
            </w:r>
          </w:p>
          <w:p w:rsidR="000A5B46" w:rsidRDefault="000A5B46" w:rsidP="000A15BA">
            <w:pPr>
              <w:pStyle w:val="ab"/>
              <w:jc w:val="center"/>
            </w:pPr>
          </w:p>
          <w:p w:rsidR="000A5B46" w:rsidRDefault="000A5B46" w:rsidP="000A15BA">
            <w:pPr>
              <w:pStyle w:val="ab"/>
              <w:jc w:val="center"/>
            </w:pPr>
            <w:r>
              <w:t>УТВЕРЖДЕНО</w:t>
            </w:r>
          </w:p>
          <w:p w:rsidR="000A5B46" w:rsidRDefault="000A5B46" w:rsidP="000A15BA">
            <w:pPr>
              <w:pStyle w:val="ab"/>
              <w:jc w:val="center"/>
            </w:pPr>
            <w:r>
              <w:t>постановлением администрации</w:t>
            </w:r>
          </w:p>
          <w:p w:rsidR="000A5B46" w:rsidRDefault="000A5B46" w:rsidP="000A15BA">
            <w:pPr>
              <w:pStyle w:val="ab"/>
              <w:jc w:val="center"/>
            </w:pPr>
            <w:r>
              <w:t>Кореновского городского поселения</w:t>
            </w:r>
          </w:p>
          <w:p w:rsidR="000A5B46" w:rsidRDefault="000A5B46" w:rsidP="000A15BA">
            <w:pPr>
              <w:pStyle w:val="ab"/>
              <w:jc w:val="center"/>
            </w:pPr>
            <w:r>
              <w:t>Кореновского района</w:t>
            </w:r>
          </w:p>
          <w:p w:rsidR="000A5B46" w:rsidRDefault="000A5B46" w:rsidP="000A15BA">
            <w:pPr>
              <w:pStyle w:val="ab"/>
              <w:jc w:val="center"/>
            </w:pPr>
            <w:r>
              <w:t>от 16.12.2019 № 1263</w:t>
            </w:r>
          </w:p>
          <w:p w:rsidR="000A5B46" w:rsidRPr="00A3672B" w:rsidRDefault="000A5B46" w:rsidP="000A15BA">
            <w:pPr>
              <w:pStyle w:val="ab"/>
              <w:jc w:val="center"/>
            </w:pPr>
          </w:p>
        </w:tc>
      </w:tr>
    </w:tbl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5B46" w:rsidRDefault="000A5B46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Кореновского городского поселения Кореновского района «</w:t>
      </w:r>
      <w:r w:rsidRPr="003423EA">
        <w:rPr>
          <w:rFonts w:ascii="Times New Roman" w:hAnsi="Times New Roman" w:cs="Times New Roman"/>
          <w:sz w:val="28"/>
          <w:szCs w:val="28"/>
          <w:lang w:val="ru-RU"/>
        </w:rPr>
        <w:t>Городской спортивно-досугов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081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423EA">
        <w:rPr>
          <w:rFonts w:ascii="Times New Roman" w:hAnsi="Times New Roman" w:cs="Times New Roman"/>
          <w:sz w:val="28"/>
          <w:szCs w:val="28"/>
          <w:lang w:val="ru-RU"/>
        </w:rPr>
        <w:t>центр»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proofErr w:type="gramEnd"/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критерии оценки 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эффективности и результативности работы руководителя для установления стимулирующих выплат </w:t>
      </w: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5701"/>
        <w:gridCol w:w="5480"/>
        <w:gridCol w:w="3407"/>
      </w:tblGrid>
      <w:tr w:rsidR="00FE0548" w:rsidRPr="00C24C16" w:rsidTr="00DB4829">
        <w:trPr>
          <w:trHeight w:val="44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баллов</w:t>
            </w:r>
          </w:p>
        </w:tc>
      </w:tr>
      <w:tr w:rsidR="00FE0548" w:rsidRPr="00C24C16" w:rsidTr="00DB4829">
        <w:trPr>
          <w:trHeight w:val="23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FE0548" w:rsidRPr="00C24C16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Основная деятельность учреждения</w:t>
            </w:r>
          </w:p>
        </w:tc>
      </w:tr>
      <w:tr w:rsidR="00FE0548" w:rsidRPr="00C24C16" w:rsidTr="00DB4829">
        <w:trPr>
          <w:trHeight w:val="465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</w:t>
            </w:r>
          </w:p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муниципального задания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муниципального задания в полном объеме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выполненного муниципального задания </w:t>
            </w: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определяется как отношение количества фактически оказанных услуг в учреждении к объему социальных услуг, планируемых к оказанию за отчетный период согласно муниципальному заданию. Пункты муниципального задания, в которых определен объем оказываемых услуг, считаются выполненными, если отношение количества фактически оказанных услуг в учреждении к объему социальных услуг, планируемых к оказанию за отчетный период согласно муниципальному заданию, составляет не менее 85%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10 баллов</w:t>
            </w:r>
          </w:p>
        </w:tc>
      </w:tr>
      <w:tr w:rsidR="00FE0548" w:rsidRPr="00C24C16" w:rsidTr="00DB4829">
        <w:trPr>
          <w:trHeight w:val="465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мер противопожарной и антитеррористической безопасности, правил по охране труда, санитарно-гигиенических правил.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и эффективное функционирование пожарной сигнализации и «тревожной кнопки», 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 либо отсутствие самих проверок)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змечаний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исполненных в соответствии со сроками, указанными в предписаниях, представлениях, предложениях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неисполненных в срок предписаний, </w:t>
            </w: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представлений, предложений или исполненных с нарушением указанных сроков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10 баллов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DB4829">
        <w:trPr>
          <w:trHeight w:val="271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граждан доступностью и качеством предоставления социальных услуг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Положительные результаты опроса (в форме анкетирования) граждан о качестве и доступности предоставления социальных услуг в учреждении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Положительные результаты независимой оценки качества предоставления социальных услуг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письменных жалоб,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посутпивших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граждан, на качество оказания социальных услуг,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балла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балла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DB4829">
        <w:trPr>
          <w:trHeight w:val="90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информационной открытости учреждения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регистрации и размещения информации об учреждении в соответствии с установленными показателями на федеральном портале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</w:tc>
      </w:tr>
      <w:tr w:rsidR="00FE0548" w:rsidRPr="00C24C16" w:rsidTr="00DB4829">
        <w:trPr>
          <w:trHeight w:val="1562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информационно-разъяснительной работы среди населения, в том числе среди обсуживаемых граждан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в учреждении стендов с информацией о перечне предоставляемых услуг, в том числе на платной основе, о поставщиках социальных услуг, о правах и обязанностях граждан, получающих социальные услуги, о действующем социальном законодательстве и с другой информацией</w:t>
            </w:r>
          </w:p>
        </w:tc>
        <w:tc>
          <w:tcPr>
            <w:tcW w:w="3407" w:type="dxa"/>
          </w:tcPr>
          <w:p w:rsidR="00FE0548" w:rsidRPr="00C24C16" w:rsidRDefault="000816B3" w:rsidP="000816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FE0548"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</w:p>
        </w:tc>
      </w:tr>
      <w:tr w:rsidR="00FE0548" w:rsidRPr="00C24C16" w:rsidTr="00DB4829">
        <w:trPr>
          <w:trHeight w:val="44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Популяризация деятельности учреждения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в учреждении официальных страниц в социальных сетях</w:t>
            </w:r>
          </w:p>
        </w:tc>
        <w:tc>
          <w:tcPr>
            <w:tcW w:w="3407" w:type="dxa"/>
          </w:tcPr>
          <w:p w:rsidR="00FE0548" w:rsidRPr="000816B3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D64487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0816B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первому разделу-4</w:t>
            </w:r>
            <w:r w:rsidR="000816B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баллов</w:t>
            </w:r>
          </w:p>
        </w:tc>
      </w:tr>
      <w:tr w:rsidR="00FE0548" w:rsidRPr="00D64487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Финансово-экономическая деятельность и исполнительская дисциплина учреждения (руководителя)</w:t>
            </w:r>
          </w:p>
        </w:tc>
      </w:tr>
      <w:tr w:rsidR="00FE0548" w:rsidRPr="00C24C16" w:rsidTr="00DB4829">
        <w:trPr>
          <w:trHeight w:val="1347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Соблюдение сроков, установленных порядков и форм представления сведений, отчетов и статистической </w:t>
            </w:r>
            <w:proofErr w:type="gram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отчетности .</w:t>
            </w:r>
            <w:proofErr w:type="gramEnd"/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Нарушение сроков, установленных порядков и форм представления сведений,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очтетов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статистической отчетности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DB4829">
        <w:trPr>
          <w:trHeight w:val="294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Целевое и эффективное использование бюджетных и внебюджетных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Отсутствие просроченной дебиторской и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крдиторской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задолженности и нарушений финансово-хозяйственной деятельности, приведших к нецелевому и неэффективному расходованию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бюджтных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средств в течение учетного периода.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просроченной дебиторской и кредиторской задолженности в течение учетного периода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нормативного-правового акта, регулирующего расходование средств, полученных от граждан за оказанные платные услуги, целевое использование указанных средств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баллов</w:t>
            </w:r>
          </w:p>
        </w:tc>
      </w:tr>
      <w:tr w:rsidR="00FE0548" w:rsidRPr="00D64487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второму разделу-26 баллов</w:t>
            </w:r>
          </w:p>
        </w:tc>
      </w:tr>
      <w:tr w:rsidR="00FE0548" w:rsidRPr="00D64487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Деятельность учреждения (руководителя), направленная на работу с кадрами</w:t>
            </w:r>
          </w:p>
        </w:tc>
      </w:tr>
      <w:tr w:rsidR="00FE0548" w:rsidRPr="00C24C16" w:rsidTr="00DB4829">
        <w:trPr>
          <w:trHeight w:val="67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Укомплектованность учреждения работниками, непосредственно оказывающими социальные услуги</w:t>
            </w:r>
          </w:p>
        </w:tc>
        <w:tc>
          <w:tcPr>
            <w:tcW w:w="5480" w:type="dxa"/>
          </w:tcPr>
          <w:p w:rsidR="00FE0548" w:rsidRPr="00C24C16" w:rsidRDefault="00FE0548" w:rsidP="00DB48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Доля укомплектованности, составляющая </w:t>
            </w:r>
            <w:r w:rsidR="00DB48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менее 75</w:t>
            </w: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%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C24C16" w:rsidTr="00DB4829">
        <w:trPr>
          <w:trHeight w:val="658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сроков повышения квалификации работников учреждения, непосредственно оказывающих социальные услуги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3407" w:type="dxa"/>
          </w:tcPr>
          <w:p w:rsidR="00FE0548" w:rsidRPr="00C24C16" w:rsidRDefault="00DB4829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FE0548"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баллов</w:t>
            </w:r>
          </w:p>
        </w:tc>
      </w:tr>
      <w:tr w:rsidR="00FE0548" w:rsidRPr="00C24C16" w:rsidTr="00DB4829">
        <w:trPr>
          <w:trHeight w:val="2036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3.3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Своевременное и качественное выполнение плановых заданий за </w:t>
            </w:r>
            <w:proofErr w:type="spellStart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определнный</w:t>
            </w:r>
            <w:proofErr w:type="spellEnd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период времени по оказанию услуг в сфере социального обслуживания в рамках реализации муниципального задания учреждению, а </w:t>
            </w:r>
            <w:proofErr w:type="spellStart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ткже</w:t>
            </w:r>
            <w:proofErr w:type="spellEnd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</w:p>
        </w:tc>
        <w:tc>
          <w:tcPr>
            <w:tcW w:w="3407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 баллов</w:t>
            </w:r>
          </w:p>
        </w:tc>
      </w:tr>
      <w:tr w:rsidR="00FE0548" w:rsidRPr="00D64487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третьему разделу-25 баллов</w:t>
            </w:r>
          </w:p>
        </w:tc>
      </w:tr>
      <w:tr w:rsidR="00FE0548" w:rsidRPr="00D64487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Макисмальная</w:t>
            </w:r>
            <w:proofErr w:type="spellEnd"/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совокупная значимость всех критериев по трем разделам-100 баллов</w:t>
            </w:r>
          </w:p>
        </w:tc>
      </w:tr>
    </w:tbl>
    <w:p w:rsidR="00DB4829" w:rsidRPr="007C45B9" w:rsidRDefault="00DB4829" w:rsidP="00DB482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45B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процентов за выполнение показателей эффективности деятельности учреждения составляет 100 %.</w:t>
      </w:r>
    </w:p>
    <w:p w:rsidR="00FE0548" w:rsidRDefault="00FE0548" w:rsidP="00FE0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установлении итогового балла по всем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криетриям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соответствующим выполнению всех целевых показателей деятельности, размер премии руководителя муниципального бюджетного учреждения Кореновского городского поселения Кореновского района «Городской спортивно-досуговый центр» помесячно подлежит рассмотрению в следующем соотношении</w:t>
      </w:r>
      <w:r w:rsidRPr="002E4B4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E0548" w:rsidRPr="002E4B4C" w:rsidRDefault="00FE0548" w:rsidP="00FE0548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муниципального бюджетного учреждения Кореновского городского поселения Кореновского района «Городской спортивно-досуговый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центр»-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размере 3 должностных окладов.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>организационно-кадрового отдела</w:t>
      </w:r>
    </w:p>
    <w:p w:rsidR="00FE0548" w:rsidRPr="00A9413B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Кореновского 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Я.Е. Слепокурова</w:t>
      </w:r>
    </w:p>
    <w:sectPr w:rsidR="00FE0548" w:rsidSect="0027631E">
      <w:headerReference w:type="default" r:id="rId10"/>
      <w:pgSz w:w="16838" w:h="11906" w:orient="landscape"/>
      <w:pgMar w:top="1701" w:right="851" w:bottom="567" w:left="85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57" w:rsidRDefault="00430F57" w:rsidP="00B65E5A">
      <w:pPr>
        <w:spacing w:after="0" w:line="240" w:lineRule="auto"/>
      </w:pPr>
      <w:r>
        <w:separator/>
      </w:r>
    </w:p>
  </w:endnote>
  <w:endnote w:type="continuationSeparator" w:id="0">
    <w:p w:rsidR="00430F57" w:rsidRDefault="00430F57" w:rsidP="00B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57" w:rsidRDefault="00430F57" w:rsidP="00B65E5A">
      <w:pPr>
        <w:spacing w:after="0" w:line="240" w:lineRule="auto"/>
      </w:pPr>
      <w:r>
        <w:separator/>
      </w:r>
    </w:p>
  </w:footnote>
  <w:footnote w:type="continuationSeparator" w:id="0">
    <w:p w:rsidR="00430F57" w:rsidRDefault="00430F57" w:rsidP="00B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0404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65E5A" w:rsidRPr="00D64487" w:rsidRDefault="003257D5" w:rsidP="003C664F">
        <w:pPr>
          <w:pStyle w:val="a7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D6448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3C664F" w:rsidRPr="00D6448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D6448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82D64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D6448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5A" w:rsidRPr="00D64487" w:rsidRDefault="00BA1969" w:rsidP="00696737">
    <w:pPr>
      <w:pStyle w:val="a7"/>
      <w:tabs>
        <w:tab w:val="center" w:pos="7285"/>
        <w:tab w:val="left" w:pos="8079"/>
      </w:tabs>
      <w:rPr>
        <w:color w:val="FFFFFF" w:themeColor="background1"/>
      </w:rPr>
    </w:pPr>
    <w:r>
      <w:tab/>
    </w:r>
    <w:r w:rsidRPr="009452FE">
      <w:rPr>
        <w:color w:val="FFFFFF" w:themeColor="background1"/>
      </w:rPr>
      <w:tab/>
    </w:r>
    <w:r w:rsidR="003257D5" w:rsidRPr="00D6448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="00B65E5A" w:rsidRPr="00D6448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="003257D5" w:rsidRPr="00D6448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D82D64">
      <w:rPr>
        <w:rFonts w:ascii="Times New Roman" w:hAnsi="Times New Roman" w:cs="Times New Roman"/>
        <w:noProof/>
        <w:color w:val="FFFFFF" w:themeColor="background1"/>
        <w:sz w:val="28"/>
        <w:szCs w:val="28"/>
      </w:rPr>
      <w:t>7</w:t>
    </w:r>
    <w:r w:rsidR="003257D5" w:rsidRPr="00D6448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  <w:r w:rsidRPr="00D64487">
      <w:rPr>
        <w:rFonts w:ascii="Times New Roman" w:hAnsi="Times New Roman" w:cs="Times New Roman"/>
        <w:color w:val="FFFFFF" w:themeColor="background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34849"/>
    <w:multiLevelType w:val="hybridMultilevel"/>
    <w:tmpl w:val="CD1EB72A"/>
    <w:lvl w:ilvl="0" w:tplc="6B9CDA4C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0BAD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DD4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EAD6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4D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0BB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4D5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CC9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84C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78B2"/>
    <w:multiLevelType w:val="hybridMultilevel"/>
    <w:tmpl w:val="41E08550"/>
    <w:lvl w:ilvl="0" w:tplc="F1E8106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5AB3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4EDE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51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2A9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5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3EC5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E63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16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85BC6"/>
    <w:multiLevelType w:val="hybridMultilevel"/>
    <w:tmpl w:val="F43E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46F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A5912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5B3BD1"/>
    <w:multiLevelType w:val="hybridMultilevel"/>
    <w:tmpl w:val="256E394A"/>
    <w:lvl w:ilvl="0" w:tplc="04164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929A0"/>
    <w:multiLevelType w:val="hybridMultilevel"/>
    <w:tmpl w:val="C3D0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53"/>
    <w:multiLevelType w:val="hybridMultilevel"/>
    <w:tmpl w:val="6CF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F6"/>
    <w:rsid w:val="000027A6"/>
    <w:rsid w:val="00027CDB"/>
    <w:rsid w:val="00070B08"/>
    <w:rsid w:val="0007179D"/>
    <w:rsid w:val="000816B3"/>
    <w:rsid w:val="00082B4D"/>
    <w:rsid w:val="000A2CF3"/>
    <w:rsid w:val="000A4B08"/>
    <w:rsid w:val="000A5B46"/>
    <w:rsid w:val="000C69CD"/>
    <w:rsid w:val="000D4127"/>
    <w:rsid w:val="000E1617"/>
    <w:rsid w:val="000F469E"/>
    <w:rsid w:val="00112E6A"/>
    <w:rsid w:val="001341DA"/>
    <w:rsid w:val="00146514"/>
    <w:rsid w:val="0015275E"/>
    <w:rsid w:val="0015405F"/>
    <w:rsid w:val="00170E22"/>
    <w:rsid w:val="0017181F"/>
    <w:rsid w:val="00175E77"/>
    <w:rsid w:val="00187179"/>
    <w:rsid w:val="00190FAF"/>
    <w:rsid w:val="001B6CAB"/>
    <w:rsid w:val="001D4664"/>
    <w:rsid w:val="0020316A"/>
    <w:rsid w:val="00206E2A"/>
    <w:rsid w:val="00222B9C"/>
    <w:rsid w:val="002270C5"/>
    <w:rsid w:val="00272C2A"/>
    <w:rsid w:val="0027631E"/>
    <w:rsid w:val="002A435E"/>
    <w:rsid w:val="002A437A"/>
    <w:rsid w:val="002C045E"/>
    <w:rsid w:val="002C5028"/>
    <w:rsid w:val="002E3D41"/>
    <w:rsid w:val="002E46CE"/>
    <w:rsid w:val="002E4B4C"/>
    <w:rsid w:val="002E5BF1"/>
    <w:rsid w:val="00320937"/>
    <w:rsid w:val="003257D5"/>
    <w:rsid w:val="00332880"/>
    <w:rsid w:val="003423EA"/>
    <w:rsid w:val="0035021A"/>
    <w:rsid w:val="00350A0F"/>
    <w:rsid w:val="0036068A"/>
    <w:rsid w:val="00361BFF"/>
    <w:rsid w:val="003730DC"/>
    <w:rsid w:val="00373664"/>
    <w:rsid w:val="00374E4E"/>
    <w:rsid w:val="003C1921"/>
    <w:rsid w:val="003C6064"/>
    <w:rsid w:val="003C664F"/>
    <w:rsid w:val="003C7BEF"/>
    <w:rsid w:val="003F0DE0"/>
    <w:rsid w:val="003F636D"/>
    <w:rsid w:val="00401253"/>
    <w:rsid w:val="00430F57"/>
    <w:rsid w:val="00456902"/>
    <w:rsid w:val="004809F6"/>
    <w:rsid w:val="00484F81"/>
    <w:rsid w:val="004923C2"/>
    <w:rsid w:val="00495DF5"/>
    <w:rsid w:val="004B7C50"/>
    <w:rsid w:val="004C208E"/>
    <w:rsid w:val="004C2C09"/>
    <w:rsid w:val="004C3FD3"/>
    <w:rsid w:val="004D0418"/>
    <w:rsid w:val="004E3771"/>
    <w:rsid w:val="004E5E7C"/>
    <w:rsid w:val="00533E5F"/>
    <w:rsid w:val="00564AB1"/>
    <w:rsid w:val="005A7C12"/>
    <w:rsid w:val="005C14A7"/>
    <w:rsid w:val="005D6FC3"/>
    <w:rsid w:val="006006DC"/>
    <w:rsid w:val="00604AA1"/>
    <w:rsid w:val="00607940"/>
    <w:rsid w:val="00625411"/>
    <w:rsid w:val="00631261"/>
    <w:rsid w:val="006457BD"/>
    <w:rsid w:val="00676220"/>
    <w:rsid w:val="006A66F5"/>
    <w:rsid w:val="006B7513"/>
    <w:rsid w:val="006F29AB"/>
    <w:rsid w:val="006F5386"/>
    <w:rsid w:val="006F5F7B"/>
    <w:rsid w:val="006F7925"/>
    <w:rsid w:val="00777BC9"/>
    <w:rsid w:val="0078730A"/>
    <w:rsid w:val="007952E2"/>
    <w:rsid w:val="007A733A"/>
    <w:rsid w:val="007D6CA6"/>
    <w:rsid w:val="007F2102"/>
    <w:rsid w:val="007F7D81"/>
    <w:rsid w:val="00800A65"/>
    <w:rsid w:val="008068FF"/>
    <w:rsid w:val="008344B8"/>
    <w:rsid w:val="008E3BE9"/>
    <w:rsid w:val="008E70C5"/>
    <w:rsid w:val="008F534A"/>
    <w:rsid w:val="00911B3F"/>
    <w:rsid w:val="00933D33"/>
    <w:rsid w:val="009452FE"/>
    <w:rsid w:val="00952C6C"/>
    <w:rsid w:val="00974107"/>
    <w:rsid w:val="009B799E"/>
    <w:rsid w:val="009C0921"/>
    <w:rsid w:val="00A14C42"/>
    <w:rsid w:val="00A22EA0"/>
    <w:rsid w:val="00A325CD"/>
    <w:rsid w:val="00A5000D"/>
    <w:rsid w:val="00A6628E"/>
    <w:rsid w:val="00A80D3E"/>
    <w:rsid w:val="00A9413B"/>
    <w:rsid w:val="00AA34C2"/>
    <w:rsid w:val="00AA7FC9"/>
    <w:rsid w:val="00AC1A1B"/>
    <w:rsid w:val="00AC64CA"/>
    <w:rsid w:val="00AE11F8"/>
    <w:rsid w:val="00AF107D"/>
    <w:rsid w:val="00B568E5"/>
    <w:rsid w:val="00B65E5A"/>
    <w:rsid w:val="00B6789D"/>
    <w:rsid w:val="00B868A8"/>
    <w:rsid w:val="00BA1969"/>
    <w:rsid w:val="00BC39FF"/>
    <w:rsid w:val="00BC45BA"/>
    <w:rsid w:val="00BD3122"/>
    <w:rsid w:val="00BD47AC"/>
    <w:rsid w:val="00BD58FC"/>
    <w:rsid w:val="00C02314"/>
    <w:rsid w:val="00C4415D"/>
    <w:rsid w:val="00C45FB7"/>
    <w:rsid w:val="00C64F87"/>
    <w:rsid w:val="00C65872"/>
    <w:rsid w:val="00C96E59"/>
    <w:rsid w:val="00CB2BA3"/>
    <w:rsid w:val="00CC1A72"/>
    <w:rsid w:val="00CF4DCA"/>
    <w:rsid w:val="00CF6A50"/>
    <w:rsid w:val="00D218DC"/>
    <w:rsid w:val="00D64487"/>
    <w:rsid w:val="00D80A96"/>
    <w:rsid w:val="00D82D64"/>
    <w:rsid w:val="00D865CA"/>
    <w:rsid w:val="00DB4829"/>
    <w:rsid w:val="00DE697C"/>
    <w:rsid w:val="00DE7322"/>
    <w:rsid w:val="00E17E37"/>
    <w:rsid w:val="00E206D8"/>
    <w:rsid w:val="00E23017"/>
    <w:rsid w:val="00E24878"/>
    <w:rsid w:val="00E26485"/>
    <w:rsid w:val="00E27466"/>
    <w:rsid w:val="00E33A32"/>
    <w:rsid w:val="00E73971"/>
    <w:rsid w:val="00E74A05"/>
    <w:rsid w:val="00E91375"/>
    <w:rsid w:val="00EB5E90"/>
    <w:rsid w:val="00EE1EC6"/>
    <w:rsid w:val="00F15AE1"/>
    <w:rsid w:val="00F632E4"/>
    <w:rsid w:val="00F86ED5"/>
    <w:rsid w:val="00F94A95"/>
    <w:rsid w:val="00FB6D2E"/>
    <w:rsid w:val="00FC4824"/>
    <w:rsid w:val="00FD3D29"/>
    <w:rsid w:val="00FD4170"/>
    <w:rsid w:val="00FE0548"/>
    <w:rsid w:val="00FE0A7B"/>
    <w:rsid w:val="00FE3609"/>
    <w:rsid w:val="00FF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745AE-FA88-4CB1-931B-6A76DDA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F6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F6"/>
    <w:rPr>
      <w:rFonts w:ascii="Tahoma" w:eastAsia="MS Mincho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45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57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9">
    <w:name w:val="footer"/>
    <w:basedOn w:val="a"/>
    <w:link w:val="aa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b">
    <w:name w:val="No Spacing"/>
    <w:uiPriority w:val="1"/>
    <w:qFormat/>
    <w:rsid w:val="000A5B4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"/>
    <w:basedOn w:val="a"/>
    <w:link w:val="ad"/>
    <w:rsid w:val="00BC45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ru-RU" w:eastAsia="ar-SA"/>
    </w:rPr>
  </w:style>
  <w:style w:type="character" w:customStyle="1" w:styleId="ad">
    <w:name w:val="Основной текст Знак"/>
    <w:basedOn w:val="a0"/>
    <w:link w:val="ac"/>
    <w:rsid w:val="00BC45B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EA53-80CC-45D2-9179-77E501E1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48</cp:revision>
  <cp:lastPrinted>2021-02-11T11:13:00Z</cp:lastPrinted>
  <dcterms:created xsi:type="dcterms:W3CDTF">2019-03-14T05:48:00Z</dcterms:created>
  <dcterms:modified xsi:type="dcterms:W3CDTF">2021-02-11T11:13:00Z</dcterms:modified>
</cp:coreProperties>
</file>