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3A7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38D271E" wp14:editId="2EE306C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3A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3A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43A7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17.01.2018   </w:t>
      </w: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B43A7B" w:rsidRPr="00B43A7B" w:rsidRDefault="00B43A7B" w:rsidP="00B43A7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3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B43A7B" w:rsidRPr="00B43A7B" w:rsidRDefault="00B43A7B" w:rsidP="00B43A7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7E31D5" w:rsidRDefault="007E31D5" w:rsidP="007E31D5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«Проведение мероприятий, направленных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укрепление правопорядка, профилактики правонарушений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Кореновского городского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год»,</w:t>
      </w:r>
    </w:p>
    <w:p w:rsidR="007E31D5" w:rsidRPr="00782C54" w:rsidRDefault="007E31D5" w:rsidP="007E31D5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7E31D5" w:rsidRPr="00782C54" w:rsidRDefault="007E31D5" w:rsidP="007E31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E31D5" w:rsidRPr="00782C54" w:rsidRDefault="007E31D5" w:rsidP="007E31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1D5" w:rsidRPr="00782C54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               п о с </w:t>
      </w:r>
      <w:proofErr w:type="gramStart"/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7E31D5" w:rsidRPr="00207006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      от 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>9 ноября 2016 года № 2095 «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Pr="00E7517A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>с изменениями от 23 ноября 2017 года № 2128) (прилагается).</w:t>
      </w:r>
    </w:p>
    <w:p w:rsidR="007E31D5" w:rsidRPr="00A540D0" w:rsidRDefault="007E31D5" w:rsidP="007E31D5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5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Pr="00A54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СМИ</w:t>
      </w:r>
      <w:proofErr w:type="gramEnd"/>
      <w:r w:rsidRPr="00A5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A540D0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E31D5" w:rsidRPr="00E7517A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517A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:rsidR="007E31D5" w:rsidRPr="00E7517A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5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:rsidR="007E31D5" w:rsidRPr="00E7517A" w:rsidRDefault="007E31D5" w:rsidP="007E31D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7E31D5" w:rsidRPr="00E7517A" w:rsidRDefault="007E31D5" w:rsidP="007E31D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Pr="007E17D4" w:rsidRDefault="007E31D5" w:rsidP="007E31D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7E31D5" w:rsidRPr="007E17D4" w:rsidRDefault="007E31D5" w:rsidP="007E31D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7E31D5" w:rsidRDefault="007E31D5" w:rsidP="007E31D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М.В. Колесова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7E31D5" w:rsidRPr="00782C54" w:rsidTr="00B74D8C">
        <w:tc>
          <w:tcPr>
            <w:tcW w:w="4790" w:type="dxa"/>
            <w:shd w:val="clear" w:color="auto" w:fill="auto"/>
          </w:tcPr>
          <w:p w:rsidR="007E31D5" w:rsidRPr="00782C54" w:rsidRDefault="007E31D5" w:rsidP="00B74D8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7" w:type="dxa"/>
            <w:shd w:val="clear" w:color="auto" w:fill="auto"/>
          </w:tcPr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РИЛОЖЕНИЕ</w:t>
            </w: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E31D5" w:rsidRPr="00782C54" w:rsidRDefault="007E31D5" w:rsidP="00B74D8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B43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17.01.2018 № 19</w:t>
            </w:r>
          </w:p>
          <w:p w:rsidR="007E31D5" w:rsidRPr="00782C54" w:rsidRDefault="007E31D5" w:rsidP="00B74D8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E31D5" w:rsidRPr="00F92F2D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              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 была утверждена постановлением администрации Кореновского городского поселения Кореновского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2095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2017 год, за 2017 год (с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 ноября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2017 года № 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7E31D5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 по организации участия населения Кореновского городского поселения в решении вопросов профилактики правонарушений на территории Кореновского городского поселения:</w:t>
      </w:r>
    </w:p>
    <w:p w:rsidR="007E31D5" w:rsidRPr="00D57A4F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 (участие в охране общественного порядка).</w:t>
      </w:r>
    </w:p>
    <w:p w:rsidR="007E31D5" w:rsidRPr="00D57A4F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Осуществление материального стимулирования деятельности народных дружинников, участвующих в охране общественного порядка на территории Кореновского городского поселения Кореновского района в ночное время и при проведении мероприятий с массовым участием граждан.</w:t>
      </w:r>
    </w:p>
    <w:p w:rsidR="007E31D5" w:rsidRDefault="007E31D5" w:rsidP="007E3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8" w:history="1">
        <w:r w:rsidRPr="00782C5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Программы</w:t>
        </w:r>
      </w:hyperlink>
      <w:r w:rsidRPr="007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было запланировано и выделено – 406,0 рублей за счет средств бюджета Кореновского городского поселения Кореновского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31D5" w:rsidRPr="00731DB7" w:rsidRDefault="007E31D5" w:rsidP="007E3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Pr="00731D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ыделенные денежные средства,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ные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23 ноября 2017 года № 2128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Кореновского городского поселения Кореновского района от 9 ноября 2016 года № 2095 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освоены полностью согласно приложению, к отчету о реализации мероприятий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731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» </w:t>
      </w:r>
      <w:r w:rsidRPr="00731D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(приложение 1). Оценка эффективности реализации ведомственной целевой программы «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731D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(Приложение 2). Все запланированные мероприятия реализованы в полном объеме, что подтверждается проведенной оценкой эффективности реализации ведомственной целевой программы «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31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731D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(Приложение 2)</w:t>
      </w:r>
    </w:p>
    <w:p w:rsidR="007E31D5" w:rsidRDefault="007E31D5" w:rsidP="007E31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E31D5" w:rsidRPr="00782C54" w:rsidRDefault="007E31D5" w:rsidP="007E31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Кореновского района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43A7B" w:rsidRDefault="00B43A7B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59"/>
      </w:tblGrid>
      <w:tr w:rsidR="007E31D5" w:rsidRPr="00782C54" w:rsidTr="00B74D8C">
        <w:tc>
          <w:tcPr>
            <w:tcW w:w="4678" w:type="dxa"/>
          </w:tcPr>
          <w:p w:rsidR="007E31D5" w:rsidRPr="00782C54" w:rsidRDefault="007E31D5" w:rsidP="00B74D8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959" w:type="dxa"/>
          </w:tcPr>
          <w:p w:rsidR="007E31D5" w:rsidRPr="00782C54" w:rsidRDefault="007E31D5" w:rsidP="00B74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7E31D5" w:rsidRPr="00782C54" w:rsidRDefault="007E31D5" w:rsidP="00B74D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год»,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  <w:p w:rsidR="007E31D5" w:rsidRPr="00782C54" w:rsidRDefault="007E31D5" w:rsidP="00B74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782C54">
        <w:rPr>
          <w:rFonts w:ascii="Times New Roman" w:eastAsia="Courier New" w:hAnsi="Times New Roman" w:cs="Times New Roman"/>
          <w:sz w:val="28"/>
          <w:szCs w:val="28"/>
        </w:rPr>
        <w:t>АНАЛИЗ</w:t>
      </w:r>
      <w:r w:rsidRPr="00782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31D5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объемов финансирования мероприятий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402"/>
        <w:gridCol w:w="1134"/>
        <w:gridCol w:w="850"/>
        <w:gridCol w:w="851"/>
        <w:gridCol w:w="850"/>
        <w:gridCol w:w="709"/>
        <w:gridCol w:w="1351"/>
      </w:tblGrid>
      <w:tr w:rsidR="007E31D5" w:rsidRPr="007E31D5" w:rsidTr="00B74D8C">
        <w:trPr>
          <w:trHeight w:val="36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задачи,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Источник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Объем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финансирования (</w:t>
            </w:r>
            <w:proofErr w:type="spell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тыс.руб</w:t>
            </w:r>
            <w:proofErr w:type="spellEnd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Исполнитель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  <w:p w:rsidR="007E31D5" w:rsidRPr="007E31D5" w:rsidRDefault="007E31D5" w:rsidP="00B74D8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31D5" w:rsidRPr="007E31D5" w:rsidTr="00B74D8C">
        <w:trPr>
          <w:cantSplit/>
          <w:trHeight w:val="322"/>
        </w:trPr>
        <w:tc>
          <w:tcPr>
            <w:tcW w:w="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плано</w:t>
            </w:r>
            <w:proofErr w:type="spellEnd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proofErr w:type="gram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вое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</w:t>
            </w:r>
            <w:proofErr w:type="gramEnd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10"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фактическое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31D5" w:rsidRPr="007E31D5" w:rsidTr="00B74D8C">
        <w:trPr>
          <w:cantSplit/>
          <w:trHeight w:val="276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тыс.руб</w:t>
            </w:r>
            <w:proofErr w:type="spellEnd"/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.-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/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31D5" w:rsidRPr="007E31D5" w:rsidTr="00B74D8C">
        <w:trPr>
          <w:cantSplit/>
          <w:trHeight w:val="276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7E31D5" w:rsidRPr="007E31D5" w:rsidTr="00B74D8C">
        <w:trPr>
          <w:trHeight w:val="36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 (участие в охране общественного порядка).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7E31D5" w:rsidRPr="007E31D5" w:rsidTr="00B74D8C">
        <w:trPr>
          <w:trHeight w:val="36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материального стимулирования деятельности народных дружинников, участвующих в охране общественного порядка на территории Кореновского городского поселения Кореновского района в ночное время и при проведении мероприятий с массовым участием граждан.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7E31D5" w:rsidRPr="007E31D5" w:rsidTr="00B74D8C">
        <w:trPr>
          <w:trHeight w:val="240"/>
        </w:trPr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</w:t>
            </w:r>
            <w:r w:rsidRPr="007E3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31D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поселения Кореновского района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5"/>
      </w:tblGrid>
      <w:tr w:rsidR="007E31D5" w:rsidRPr="00782C54" w:rsidTr="00B74D8C">
        <w:tc>
          <w:tcPr>
            <w:tcW w:w="4792" w:type="dxa"/>
          </w:tcPr>
          <w:p w:rsidR="007E31D5" w:rsidRPr="00782C54" w:rsidRDefault="007E31D5" w:rsidP="00B74D8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845" w:type="dxa"/>
          </w:tcPr>
          <w:p w:rsidR="007E31D5" w:rsidRPr="00782C54" w:rsidRDefault="007E31D5" w:rsidP="00B74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7E31D5" w:rsidRPr="00782C54" w:rsidRDefault="007E31D5" w:rsidP="00B74D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год»,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  <w:p w:rsidR="007E31D5" w:rsidRPr="00782C54" w:rsidRDefault="007E31D5" w:rsidP="00B74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E31D5" w:rsidRPr="00782C54" w:rsidRDefault="007E31D5" w:rsidP="007E31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782C54">
        <w:rPr>
          <w:rFonts w:ascii="Times New Roman" w:eastAsia="Courier New" w:hAnsi="Times New Roman" w:cs="Times New Roman"/>
          <w:sz w:val="28"/>
          <w:szCs w:val="28"/>
        </w:rPr>
        <w:t>ОЦЕНКА</w:t>
      </w:r>
    </w:p>
    <w:p w:rsidR="007E31D5" w:rsidRPr="00782C54" w:rsidRDefault="007E31D5" w:rsidP="007E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эффективности реализации мероприятий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tbl>
      <w:tblPr>
        <w:tblW w:w="9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115"/>
        <w:gridCol w:w="1843"/>
        <w:gridCol w:w="1843"/>
        <w:gridCol w:w="1331"/>
      </w:tblGrid>
      <w:tr w:rsidR="007E31D5" w:rsidRPr="00782C54" w:rsidTr="00B74D8C">
        <w:trPr>
          <w:trHeight w:val="3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№ </w:t>
            </w: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Показатели результативности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Фактические объемы финансирования (суммарно по всем источникам)</w:t>
            </w: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Фактическое значение показателя (</w:t>
            </w:r>
            <w:proofErr w:type="gramStart"/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индикатора)  результативности</w:t>
            </w:r>
            <w:proofErr w:type="gramEnd"/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в натуральном или стоимостном выражении</w:t>
            </w:r>
          </w:p>
          <w:p w:rsidR="007E31D5" w:rsidRPr="00782C54" w:rsidRDefault="007E31D5" w:rsidP="00B74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Эффективность реализации</w:t>
            </w:r>
          </w:p>
          <w:p w:rsidR="007E31D5" w:rsidRPr="00782C54" w:rsidRDefault="007E31D5" w:rsidP="00B74D8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%</w:t>
            </w:r>
          </w:p>
        </w:tc>
      </w:tr>
      <w:tr w:rsidR="007E31D5" w:rsidRPr="00782C54" w:rsidTr="00B74D8C">
        <w:trPr>
          <w:cantSplit/>
          <w:trHeight w:val="324"/>
        </w:trPr>
        <w:tc>
          <w:tcPr>
            <w:tcW w:w="4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7E31D5" w:rsidRPr="00782C54" w:rsidTr="00B74D8C">
        <w:trPr>
          <w:cantSplit/>
          <w:trHeight w:val="277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7E31D5" w:rsidRPr="00782C54" w:rsidTr="00B74D8C">
        <w:trPr>
          <w:cantSplit/>
          <w:trHeight w:val="277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ДЦП (5=4/3)</w:t>
            </w:r>
          </w:p>
        </w:tc>
      </w:tr>
      <w:tr w:rsidR="007E31D5" w:rsidRPr="00782C54" w:rsidTr="00B74D8C">
        <w:trPr>
          <w:trHeight w:val="3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C83921" w:rsidRDefault="007E31D5" w:rsidP="00B74D8C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 (участие в охране общественного порядка).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306,0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306,0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  <w:tr w:rsidR="007E31D5" w:rsidRPr="00782C54" w:rsidTr="00B74D8C">
        <w:trPr>
          <w:trHeight w:val="3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31D5" w:rsidRPr="00C83921" w:rsidRDefault="007E31D5" w:rsidP="00B74D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материального стимулирования деятельности народных дружинников, участвующих в охране общественного порядка на территории Кореновского городского поселения Кореновского района в ночное время и при проведении мероприятий с массовым участием граждан.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7E31D5" w:rsidRPr="00782C54" w:rsidRDefault="007E31D5" w:rsidP="00B74D8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82C54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</w:tbl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тдела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:rsidR="007E31D5" w:rsidRPr="00782C54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</w:t>
      </w:r>
    </w:p>
    <w:p w:rsidR="007E31D5" w:rsidRDefault="007E31D5" w:rsidP="007E31D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  <w:bookmarkStart w:id="0" w:name="_GoBack"/>
      <w:bookmarkEnd w:id="0"/>
    </w:p>
    <w:sectPr w:rsidR="007E31D5" w:rsidSect="00292DDC">
      <w:headerReference w:type="default" r:id="rId9"/>
      <w:footnotePr>
        <w:pos w:val="beneathText"/>
      </w:footnotePr>
      <w:pgSz w:w="11905" w:h="16837"/>
      <w:pgMar w:top="1134" w:right="567" w:bottom="79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42" w:rsidRDefault="00B67042">
      <w:pPr>
        <w:spacing w:after="0" w:line="240" w:lineRule="auto"/>
      </w:pPr>
      <w:r>
        <w:separator/>
      </w:r>
    </w:p>
  </w:endnote>
  <w:endnote w:type="continuationSeparator" w:id="0">
    <w:p w:rsidR="00B67042" w:rsidRDefault="00B6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S Mincho"/>
    <w:charset w:val="CC"/>
    <w:family w:val="swiss"/>
    <w:pitch w:val="variable"/>
    <w:sig w:usb0="E7002EFF" w:usb1="DA07FDFF" w:usb2="0A246039" w:usb3="00000000" w:csb0="0002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42" w:rsidRDefault="00B67042">
      <w:pPr>
        <w:spacing w:after="0" w:line="240" w:lineRule="auto"/>
      </w:pPr>
      <w:r>
        <w:separator/>
      </w:r>
    </w:p>
  </w:footnote>
  <w:footnote w:type="continuationSeparator" w:id="0">
    <w:p w:rsidR="00B67042" w:rsidRDefault="00B6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DC" w:rsidRPr="00B43A7B" w:rsidRDefault="00FA5808" w:rsidP="00292DDC">
    <w:pPr>
      <w:pStyle w:val="a3"/>
      <w:jc w:val="center"/>
      <w:rPr>
        <w:color w:val="FFFFFF" w:themeColor="background1"/>
        <w:sz w:val="28"/>
        <w:szCs w:val="28"/>
      </w:rPr>
    </w:pPr>
    <w:r w:rsidRPr="00B43A7B">
      <w:rPr>
        <w:color w:val="FFFFFF" w:themeColor="background1"/>
        <w:sz w:val="28"/>
        <w:szCs w:val="28"/>
      </w:rPr>
      <w:fldChar w:fldCharType="begin"/>
    </w:r>
    <w:r w:rsidRPr="00B43A7B">
      <w:rPr>
        <w:color w:val="FFFFFF" w:themeColor="background1"/>
        <w:sz w:val="28"/>
        <w:szCs w:val="28"/>
      </w:rPr>
      <w:instrText>PAGE   \* MERGEFORMAT</w:instrText>
    </w:r>
    <w:r w:rsidRPr="00B43A7B">
      <w:rPr>
        <w:color w:val="FFFFFF" w:themeColor="background1"/>
        <w:sz w:val="28"/>
        <w:szCs w:val="28"/>
      </w:rPr>
      <w:fldChar w:fldCharType="separate"/>
    </w:r>
    <w:r w:rsidR="00B43A7B" w:rsidRPr="00B43A7B">
      <w:rPr>
        <w:noProof/>
        <w:color w:val="FFFFFF" w:themeColor="background1"/>
        <w:sz w:val="28"/>
        <w:szCs w:val="28"/>
        <w:lang w:val="ru-RU"/>
      </w:rPr>
      <w:t>4</w:t>
    </w:r>
    <w:r w:rsidRPr="00B43A7B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F"/>
    <w:rsid w:val="00087A7B"/>
    <w:rsid w:val="00207006"/>
    <w:rsid w:val="00365ED1"/>
    <w:rsid w:val="00386193"/>
    <w:rsid w:val="004E0C7F"/>
    <w:rsid w:val="006E2AB6"/>
    <w:rsid w:val="00731DB7"/>
    <w:rsid w:val="00781B40"/>
    <w:rsid w:val="00782C54"/>
    <w:rsid w:val="007E31D5"/>
    <w:rsid w:val="008C578C"/>
    <w:rsid w:val="00930FB9"/>
    <w:rsid w:val="00A540D0"/>
    <w:rsid w:val="00A71B70"/>
    <w:rsid w:val="00B43A7B"/>
    <w:rsid w:val="00B67042"/>
    <w:rsid w:val="00B952D3"/>
    <w:rsid w:val="00C05692"/>
    <w:rsid w:val="00C83921"/>
    <w:rsid w:val="00D57A4F"/>
    <w:rsid w:val="00E7517A"/>
    <w:rsid w:val="00F92F2D"/>
    <w:rsid w:val="00FA5808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26B9-0DD7-4EA6-AD91-32B6C5FD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82C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7E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1D5"/>
  </w:style>
  <w:style w:type="paragraph" w:styleId="a7">
    <w:name w:val="Balloon Text"/>
    <w:basedOn w:val="a"/>
    <w:link w:val="a8"/>
    <w:uiPriority w:val="99"/>
    <w:semiHidden/>
    <w:unhideWhenUsed/>
    <w:rsid w:val="007E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055.100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956D-DA1C-4897-A7BF-72A6D75A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Андрей Барыбин</cp:lastModifiedBy>
  <cp:revision>12</cp:revision>
  <cp:lastPrinted>2018-01-18T06:07:00Z</cp:lastPrinted>
  <dcterms:created xsi:type="dcterms:W3CDTF">2017-02-28T05:44:00Z</dcterms:created>
  <dcterms:modified xsi:type="dcterms:W3CDTF">2018-01-18T06:07:00Z</dcterms:modified>
</cp:coreProperties>
</file>