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8"/>
        <w:gridCol w:w="4677"/>
      </w:tblGrid>
      <w:tr w:rsidR="00B323FC" w:rsidRPr="00B323FC" w14:paraId="21F11614" w14:textId="77777777" w:rsidTr="00686D04">
        <w:tc>
          <w:tcPr>
            <w:tcW w:w="4927" w:type="dxa"/>
            <w:shd w:val="clear" w:color="auto" w:fill="auto"/>
          </w:tcPr>
          <w:p w14:paraId="226A58CF" w14:textId="77777777" w:rsidR="00225442" w:rsidRPr="00225442" w:rsidRDefault="00225442" w:rsidP="002254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64DDC4FB" w14:textId="77777777" w:rsidR="00225442" w:rsidRPr="00B323FC" w:rsidRDefault="00225442" w:rsidP="007F2929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7 </w:t>
            </w:r>
          </w:p>
          <w:p w14:paraId="2ADAAB79" w14:textId="05713062" w:rsidR="00225442" w:rsidRPr="00B323FC" w:rsidRDefault="007F2929" w:rsidP="002254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225442" w:rsidRPr="00B323FC">
              <w:rPr>
                <w:rFonts w:ascii="Times New Roman" w:eastAsia="Times New Roman" w:hAnsi="Times New Roman" w:cs="Times New Roman"/>
                <w:sz w:val="28"/>
                <w:szCs w:val="28"/>
              </w:rPr>
              <w:t>К Единой учетной политике</w:t>
            </w:r>
          </w:p>
        </w:tc>
      </w:tr>
    </w:tbl>
    <w:p w14:paraId="38E8BDEE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CB23EF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признания и отражения в учете и отчетности событий после отчетной даты</w:t>
      </w:r>
    </w:p>
    <w:p w14:paraId="332E64D0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14:paraId="15DE4300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1.1. Настоящий порядок признания и отражения в учете и отчетности событий после отчетной даты (далее также - Порядок ) разработан в соответствии с Инструкцией, утвержденной приказом Минфина России от 01.12.2010 N 157н, и Методическими рекомендациями, направленными письмом Минфина России от 19.12.2014 N 02-07-07/66918, а также Приложением к письму Минфина России и Федерального казначейства от 02.02.2017 NN 02-07-07/5669, 07-04-05/02-120. </w:t>
      </w:r>
    </w:p>
    <w:p w14:paraId="0ABD1CC3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1.2. Событиями после отчетной даты признаются </w:t>
      </w:r>
      <w:r w:rsidRPr="00225442">
        <w:rPr>
          <w:rFonts w:ascii="Times New Roman" w:eastAsia="Times New Roman" w:hAnsi="Times New Roman" w:cs="Times New Roman"/>
          <w:bCs/>
          <w:sz w:val="28"/>
          <w:szCs w:val="28"/>
        </w:rPr>
        <w:t>существенные</w:t>
      </w:r>
      <w:r w:rsidRPr="002254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 </w:t>
      </w:r>
    </w:p>
    <w:p w14:paraId="14051C71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К событиям после отчетной даты относятся: </w:t>
      </w:r>
    </w:p>
    <w:p w14:paraId="2320C5FD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события, подтверждающие условия, существовавшие на отчетную дату; </w:t>
      </w:r>
    </w:p>
    <w:p w14:paraId="3B583175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события, свидетельствующие об условиях, возникших после отчетной даты. </w:t>
      </w:r>
    </w:p>
    <w:p w14:paraId="416E3856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1.3. 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 </w:t>
      </w:r>
    </w:p>
    <w:p w14:paraId="3C74051F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Существенность события после отчетной даты учреждение определяет самостоятельно, исходя из установленных требований к отчетности. </w:t>
      </w:r>
    </w:p>
    <w:p w14:paraId="49F553D9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Информация является существенной, если ее отсутствие или искажение могут оказать влияние на решения пользователей. </w:t>
      </w:r>
    </w:p>
    <w:p w14:paraId="639E80A6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1.4. Решение об отражении событий после отчетной даты принимается главным бухгалтером. </w:t>
      </w:r>
    </w:p>
    <w:p w14:paraId="52BA51D2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1.5. 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 </w:t>
      </w:r>
    </w:p>
    <w:p w14:paraId="50E1C63F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bCs/>
          <w:sz w:val="28"/>
          <w:szCs w:val="28"/>
        </w:rPr>
        <w:t>2. Перечень фактов хозяйственной жизни, которые признаются событиями после отчетной даты</w:t>
      </w:r>
    </w:p>
    <w:p w14:paraId="007F3A61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2.1. К событиям, подтверждающим условия, существовавшие на отчетную дату, относятся следующие существенные факты хозяйственной жизни: </w:t>
      </w:r>
    </w:p>
    <w:p w14:paraId="2BEF4666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изменение на начало периода, следующего за отчетным (до даты подписания отчетности), кадастровой стоимости земельного участка, используемого учреждением на праве постоянного (бессрочного) пользования и учтенного на балансе; </w:t>
      </w:r>
    </w:p>
    <w:p w14:paraId="156C8283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оформление после отчетной даты государственной регистрации права оперативного управлении по созданным (полученным) в отчетном периоде объектам недвижимого имущества; </w:t>
      </w:r>
    </w:p>
    <w:p w14:paraId="7ED79731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уточнение платежей на лицевом счете, открытом в органе казначейства, в том числе платежей по доходам, в первые числа января;  </w:t>
      </w:r>
    </w:p>
    <w:p w14:paraId="2FD032D1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обнаружение после отчетной даты существенной ошибки в бухгалтерском учете или нарушения законодательства при осуществлении деятельности учреждения, которые ведут к искажению бухгалтерской отчетности за отчетный период; </w:t>
      </w:r>
    </w:p>
    <w:p w14:paraId="613A4F78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расчеты с подотчетными лицами по расходам, относящимся к отчетному периоду; </w:t>
      </w:r>
    </w:p>
    <w:p w14:paraId="15079CBE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объявление в установленном порядке дебитора банкротом после отчетной даты; </w:t>
      </w:r>
    </w:p>
    <w:p w14:paraId="6014D8F2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возникновение обязательств или денежных прав, связанных с завершением судебного процесса </w:t>
      </w:r>
    </w:p>
    <w:p w14:paraId="1AD3B766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результаты инвентаризации, проведенной в целях составления годовой бухгалтерской (финансовой) отчетности, но отраженных в протоколах, актах, подписанных после отчетной даты; </w:t>
      </w:r>
    </w:p>
    <w:p w14:paraId="472F84B8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результаты годовой инвентаризации (сверки с соответствующими реестрами), указывающие на необходимость корректировки данных учета, полученные после отчетной даты, но до срока представления отчетности. </w:t>
      </w:r>
    </w:p>
    <w:p w14:paraId="05035752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2.2. К событиям, являющимся следствием условий, сложившихся после отчетной даты, относятся следующие существенные факты хозяйственной жизни: </w:t>
      </w:r>
    </w:p>
    <w:p w14:paraId="6C399B69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>выбытие нефинансовых активов в результате чрезвычайной ситуации.</w:t>
      </w:r>
    </w:p>
    <w:p w14:paraId="790BF4F1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bCs/>
          <w:sz w:val="28"/>
          <w:szCs w:val="28"/>
        </w:rPr>
        <w:t>3. Отражение в учете и отчетности событий после отчетной даты</w:t>
      </w:r>
    </w:p>
    <w:p w14:paraId="5AC0ADAC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3.1. События после отчетной даты, подтверждающие условия, существовавшие на отчетную дату, отражаются в учете: </w:t>
      </w:r>
    </w:p>
    <w:p w14:paraId="2CD37D85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31 декабря отчетного года на основании Бухгалтерской справки (ф. 0504833) с приложением первичных или иных документов; </w:t>
      </w:r>
    </w:p>
    <w:p w14:paraId="48832F95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Данные учета отражаются в соответствующих формах отчетности учреждения с учетом корректирующих событий после отчетной даты. </w:t>
      </w:r>
    </w:p>
    <w:p w14:paraId="6BC53FEB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событиях после отчетной даты раскрывается в текстовой части Пояснительной записки (ф. 0503760). </w:t>
      </w:r>
    </w:p>
    <w:p w14:paraId="0931FD94" w14:textId="77777777" w:rsidR="00225442" w:rsidRPr="00225442" w:rsidRDefault="00225442" w:rsidP="00225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442">
        <w:rPr>
          <w:rFonts w:ascii="Times New Roman" w:eastAsia="Times New Roman" w:hAnsi="Times New Roman" w:cs="Times New Roman"/>
          <w:sz w:val="28"/>
          <w:szCs w:val="28"/>
        </w:rPr>
        <w:t>3.2. В случае, 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информация об указанном событии раскрывается в текстовой части пояснительной записки Пояснительной записки (ф. 0503760).</w:t>
      </w:r>
    </w:p>
    <w:sectPr w:rsidR="00225442" w:rsidRPr="00225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3AE"/>
    <w:rsid w:val="00225442"/>
    <w:rsid w:val="007F2929"/>
    <w:rsid w:val="00B303AE"/>
    <w:rsid w:val="00B3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B03"/>
  <w15:chartTrackingRefBased/>
  <w15:docId w15:val="{97F69CD5-8685-43D5-8374-B10356F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2023-03-07T06:19:00Z</dcterms:created>
  <dcterms:modified xsi:type="dcterms:W3CDTF">2023-03-13T14:40:00Z</dcterms:modified>
</cp:coreProperties>
</file>